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5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94183"/>
        <w:tblLook w:val="04A0" w:firstRow="1" w:lastRow="0" w:firstColumn="1" w:lastColumn="0" w:noHBand="0" w:noVBand="1"/>
      </w:tblPr>
      <w:tblGrid>
        <w:gridCol w:w="1979"/>
        <w:gridCol w:w="9176"/>
      </w:tblGrid>
      <w:tr w:rsidR="00CF386F" w14:paraId="2946492D" w14:textId="77777777" w:rsidTr="006A4852">
        <w:trPr>
          <w:trHeight w:val="1587"/>
        </w:trPr>
        <w:tc>
          <w:tcPr>
            <w:tcW w:w="1979" w:type="dxa"/>
            <w:shd w:val="clear" w:color="auto" w:fill="094183"/>
            <w:vAlign w:val="center"/>
          </w:tcPr>
          <w:p w14:paraId="538E62D8" w14:textId="77777777" w:rsidR="00CF386F" w:rsidRDefault="00CF386F" w:rsidP="006A4852"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871FE2C" wp14:editId="183081A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635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6" w:type="dxa"/>
            <w:shd w:val="clear" w:color="auto" w:fill="094183"/>
            <w:vAlign w:val="center"/>
          </w:tcPr>
          <w:p w14:paraId="1872DDC6" w14:textId="77777777" w:rsidR="00CF386F" w:rsidRDefault="00CF386F" w:rsidP="006A4852">
            <w:pPr>
              <w:pStyle w:val="Style1"/>
            </w:pPr>
            <w:r>
              <w:t>health &amp; safety</w:t>
            </w:r>
          </w:p>
          <w:p w14:paraId="09B2BE96" w14:textId="5B01A796" w:rsidR="00CF386F" w:rsidRDefault="00CF386F" w:rsidP="006A4852">
            <w:pPr>
              <w:pStyle w:val="Style2"/>
            </w:pPr>
            <w:r>
              <w:t>Purchasing</w:t>
            </w:r>
            <w:r w:rsidR="00747483">
              <w:t xml:space="preserve"> OR HIRING GOODS &amp; SERVICES</w:t>
            </w:r>
            <w:r>
              <w:t xml:space="preserve"> Requirements</w:t>
            </w:r>
          </w:p>
        </w:tc>
      </w:tr>
    </w:tbl>
    <w:p w14:paraId="61D35436" w14:textId="7F72A571" w:rsidR="00395209" w:rsidRPr="0046121D" w:rsidRDefault="00395209" w:rsidP="0046121D">
      <w:pPr>
        <w:pStyle w:val="Heading1"/>
      </w:pPr>
      <w:r w:rsidRPr="0046121D">
        <w:t>1</w:t>
      </w:r>
      <w:r w:rsidR="00AB3C5F">
        <w:tab/>
      </w:r>
      <w:r w:rsidRPr="0046121D">
        <w:t xml:space="preserve">Purpose </w:t>
      </w:r>
    </w:p>
    <w:p w14:paraId="0352898B" w14:textId="77777777" w:rsidR="00395209" w:rsidRPr="0019611F" w:rsidRDefault="00395209" w:rsidP="0019611F">
      <w:r w:rsidRPr="0019611F">
        <w:t>To ensure that there are adequate controls:</w:t>
      </w:r>
    </w:p>
    <w:p w14:paraId="10733885" w14:textId="7AAF5AF1" w:rsidR="00395209" w:rsidRPr="0018355A" w:rsidRDefault="00395209" w:rsidP="00952E42">
      <w:pPr>
        <w:pStyle w:val="Bullet"/>
      </w:pPr>
      <w:r w:rsidRPr="0018355A">
        <w:t xml:space="preserve">to </w:t>
      </w:r>
      <w:r w:rsidRPr="00472CAE">
        <w:t>eliminate</w:t>
      </w:r>
      <w:r w:rsidRPr="0018355A">
        <w:t xml:space="preserve"> or mitigate risks associated with purchasing or supplying goods and services; and</w:t>
      </w:r>
    </w:p>
    <w:p w14:paraId="2F4C0170" w14:textId="77777777" w:rsidR="00395209" w:rsidRPr="0018355A" w:rsidRDefault="00395209" w:rsidP="00952E42">
      <w:pPr>
        <w:pStyle w:val="Bullet"/>
      </w:pPr>
      <w:r w:rsidRPr="0018355A">
        <w:t xml:space="preserve">to </w:t>
      </w:r>
      <w:r w:rsidRPr="00DA43FA">
        <w:t>reduce</w:t>
      </w:r>
      <w:r w:rsidRPr="0018355A">
        <w:t xml:space="preserve"> the likelihood of introducing new or additional hazards into the workplace associated with purchasing or hiring goods and services. </w:t>
      </w:r>
    </w:p>
    <w:p w14:paraId="11DFFC3C" w14:textId="3E5C900D" w:rsidR="00395209" w:rsidRPr="0019611F" w:rsidRDefault="00395209" w:rsidP="0018355A">
      <w:pPr>
        <w:pStyle w:val="Heading1"/>
      </w:pPr>
      <w:r w:rsidRPr="0019611F">
        <w:t>2</w:t>
      </w:r>
      <w:r w:rsidR="0018355A">
        <w:tab/>
      </w:r>
      <w:r w:rsidRPr="0019611F">
        <w:t xml:space="preserve">Scope </w:t>
      </w:r>
    </w:p>
    <w:p w14:paraId="58DC3567" w14:textId="77777777" w:rsidR="00395209" w:rsidRPr="0019611F" w:rsidRDefault="00395209" w:rsidP="0019611F">
      <w:r w:rsidRPr="0019611F">
        <w:t xml:space="preserve">This </w:t>
      </w:r>
      <w:r w:rsidR="00244B52" w:rsidRPr="0019611F">
        <w:t>requirement</w:t>
      </w:r>
      <w:r w:rsidRPr="0019611F">
        <w:t xml:space="preserve"> applies to all purchases by staff and students at </w:t>
      </w:r>
      <w:proofErr w:type="gramStart"/>
      <w:r w:rsidRPr="0019611F">
        <w:t>all of</w:t>
      </w:r>
      <w:proofErr w:type="gramEnd"/>
      <w:r w:rsidRPr="0019611F">
        <w:t xml:space="preserve"> the University of Melbourne's campuses and each of the Un</w:t>
      </w:r>
      <w:r w:rsidR="00244B52" w:rsidRPr="0019611F">
        <w:t>iversity's controlled entities.</w:t>
      </w:r>
    </w:p>
    <w:p w14:paraId="12F9A5AF" w14:textId="3D8C6161" w:rsidR="00395209" w:rsidRPr="0019611F" w:rsidRDefault="00395209" w:rsidP="0018355A">
      <w:pPr>
        <w:pStyle w:val="Heading1"/>
      </w:pPr>
      <w:r w:rsidRPr="0019611F">
        <w:t xml:space="preserve">3 </w:t>
      </w:r>
      <w:r w:rsidR="0018355A">
        <w:tab/>
      </w:r>
      <w:r w:rsidR="0005233C">
        <w:t>D</w:t>
      </w:r>
      <w:r w:rsidRPr="0019611F">
        <w:t xml:space="preserve">efinitions </w:t>
      </w:r>
    </w:p>
    <w:p w14:paraId="0E55E852" w14:textId="77777777" w:rsidR="00395209" w:rsidRPr="0018355A" w:rsidRDefault="00395209" w:rsidP="0019611F">
      <w:pPr>
        <w:rPr>
          <w:b/>
        </w:rPr>
      </w:pPr>
      <w:r w:rsidRPr="0018355A">
        <w:rPr>
          <w:b/>
        </w:rPr>
        <w:t xml:space="preserve">Authorising officer </w:t>
      </w:r>
    </w:p>
    <w:p w14:paraId="10BE38AE" w14:textId="77777777" w:rsidR="00395209" w:rsidRPr="0019611F" w:rsidRDefault="00395209" w:rsidP="0019611F">
      <w:r w:rsidRPr="0019611F">
        <w:t>Employee with delegated authority to authorise the purchase of goods, equipment and supplies.</w:t>
      </w:r>
    </w:p>
    <w:p w14:paraId="6C912919" w14:textId="77777777" w:rsidR="00395209" w:rsidRPr="0018355A" w:rsidRDefault="00395209" w:rsidP="0019611F">
      <w:pPr>
        <w:rPr>
          <w:b/>
        </w:rPr>
      </w:pPr>
      <w:r w:rsidRPr="0018355A">
        <w:rPr>
          <w:b/>
        </w:rPr>
        <w:t>Consumables</w:t>
      </w:r>
    </w:p>
    <w:p w14:paraId="17E2A5A3" w14:textId="77777777" w:rsidR="00395209" w:rsidRPr="0019611F" w:rsidRDefault="00395209" w:rsidP="0019611F">
      <w:r w:rsidRPr="0019611F">
        <w:t>Low risk goods that normally require replacement/replenishment on an ongoing basis. For example, stationery items.</w:t>
      </w:r>
    </w:p>
    <w:p w14:paraId="6CF913F0" w14:textId="77777777" w:rsidR="00395209" w:rsidRPr="0019611F" w:rsidRDefault="00395209" w:rsidP="0019611F">
      <w:r w:rsidRPr="0019611F">
        <w:t>Hire</w:t>
      </w:r>
    </w:p>
    <w:p w14:paraId="2A7EC118" w14:textId="77777777" w:rsidR="00395209" w:rsidRPr="0019611F" w:rsidRDefault="00395209" w:rsidP="0019611F">
      <w:r w:rsidRPr="0019611F">
        <w:t xml:space="preserve">To rent or lease goods for a contracted </w:t>
      </w:r>
      <w:proofErr w:type="gramStart"/>
      <w:r w:rsidRPr="0019611F">
        <w:t>period of time</w:t>
      </w:r>
      <w:proofErr w:type="gramEnd"/>
      <w:r w:rsidRPr="0019611F">
        <w:t>.</w:t>
      </w:r>
    </w:p>
    <w:p w14:paraId="5BC28691" w14:textId="77777777" w:rsidR="00395209" w:rsidRPr="0018355A" w:rsidRDefault="00395209" w:rsidP="0019611F">
      <w:pPr>
        <w:rPr>
          <w:b/>
        </w:rPr>
      </w:pPr>
      <w:r w:rsidRPr="0018355A">
        <w:rPr>
          <w:b/>
        </w:rPr>
        <w:t>Purchasing</w:t>
      </w:r>
    </w:p>
    <w:p w14:paraId="50B14224" w14:textId="77777777" w:rsidR="00395209" w:rsidRPr="0019611F" w:rsidRDefault="00395209" w:rsidP="0019611F">
      <w:r w:rsidRPr="0019611F">
        <w:t>The purchase of new or hired goods and supplies.</w:t>
      </w:r>
    </w:p>
    <w:p w14:paraId="3B433446" w14:textId="77777777" w:rsidR="00395209" w:rsidRPr="0018355A" w:rsidRDefault="00395209" w:rsidP="0019611F">
      <w:pPr>
        <w:rPr>
          <w:b/>
        </w:rPr>
      </w:pPr>
      <w:r w:rsidRPr="0018355A">
        <w:rPr>
          <w:b/>
        </w:rPr>
        <w:t>Purchasing officer</w:t>
      </w:r>
    </w:p>
    <w:p w14:paraId="1C392910" w14:textId="77777777" w:rsidR="00395209" w:rsidRPr="0019611F" w:rsidRDefault="00395209" w:rsidP="0019611F">
      <w:r w:rsidRPr="0019611F">
        <w:t>Employee with delegated authority to pay (that is, process payments for) invoices, contracts, suppliers and so on.</w:t>
      </w:r>
    </w:p>
    <w:p w14:paraId="57E9172A" w14:textId="77777777" w:rsidR="00395209" w:rsidRPr="0018355A" w:rsidRDefault="00395209" w:rsidP="0019611F">
      <w:pPr>
        <w:rPr>
          <w:b/>
        </w:rPr>
      </w:pPr>
      <w:r w:rsidRPr="0018355A">
        <w:rPr>
          <w:b/>
        </w:rPr>
        <w:t>Services</w:t>
      </w:r>
    </w:p>
    <w:p w14:paraId="242A839F" w14:textId="77777777" w:rsidR="00395209" w:rsidRPr="0019611F" w:rsidRDefault="00395209" w:rsidP="0019611F">
      <w:r w:rsidRPr="0019611F">
        <w:t>Contractor services associated with the supply of goods. </w:t>
      </w:r>
    </w:p>
    <w:p w14:paraId="6A5A065D" w14:textId="063F1352" w:rsidR="00395209" w:rsidRPr="0019611F" w:rsidRDefault="00395209" w:rsidP="00BE0F0A">
      <w:pPr>
        <w:pStyle w:val="Heading1"/>
      </w:pPr>
      <w:r w:rsidRPr="0019611F">
        <w:t>4</w:t>
      </w:r>
      <w:r w:rsidR="00BE0F0A">
        <w:t xml:space="preserve"> </w:t>
      </w:r>
      <w:r w:rsidR="00282500" w:rsidRPr="0019611F">
        <w:t>Requirements</w:t>
      </w:r>
      <w:r w:rsidRPr="0019611F">
        <w:t xml:space="preserve"> </w:t>
      </w:r>
    </w:p>
    <w:p w14:paraId="1AB2FD9F" w14:textId="2A3E6091" w:rsidR="00395209" w:rsidRPr="00DA43FA" w:rsidRDefault="00395209" w:rsidP="00DA43FA">
      <w:pPr>
        <w:pStyle w:val="Heading2"/>
      </w:pPr>
      <w:r w:rsidRPr="00DA43FA">
        <w:t>4.1</w:t>
      </w:r>
      <w:r w:rsidR="00DA43FA">
        <w:tab/>
      </w:r>
      <w:r w:rsidRPr="00DA43FA">
        <w:t xml:space="preserve">Introduction to purchasing approval </w:t>
      </w:r>
    </w:p>
    <w:p w14:paraId="7025C1C3" w14:textId="77777777" w:rsidR="00DA43FA" w:rsidRDefault="00395209" w:rsidP="00DA43FA">
      <w:pPr>
        <w:spacing w:before="240"/>
      </w:pPr>
      <w:r w:rsidRPr="0019611F">
        <w:t xml:space="preserve">The University has a variety of methods with corresponding documentation for purchasing goods and services. </w:t>
      </w:r>
    </w:p>
    <w:p w14:paraId="26AF9BC4" w14:textId="77777777" w:rsidR="00DA43FA" w:rsidRDefault="00DA43FA" w:rsidP="00DA43FA">
      <w:pPr>
        <w:spacing w:before="240"/>
      </w:pPr>
    </w:p>
    <w:p w14:paraId="5FB87C73" w14:textId="73874003" w:rsidR="00395209" w:rsidRPr="0019611F" w:rsidRDefault="00395209" w:rsidP="00DA43FA">
      <w:pPr>
        <w:spacing w:before="240"/>
      </w:pPr>
      <w:r w:rsidRPr="0019611F">
        <w:lastRenderedPageBreak/>
        <w:t>These include</w:t>
      </w:r>
      <w:r w:rsidR="00244B52" w:rsidRPr="0019611F">
        <w:t xml:space="preserve"> (but are not limited to)</w:t>
      </w:r>
      <w:r w:rsidRPr="0019611F">
        <w:t>:</w:t>
      </w:r>
    </w:p>
    <w:p w14:paraId="438B30C1" w14:textId="77777777" w:rsidR="00395209" w:rsidRPr="0019611F" w:rsidRDefault="00395209" w:rsidP="00952E42">
      <w:pPr>
        <w:pStyle w:val="Bullet"/>
      </w:pPr>
      <w:r w:rsidRPr="0019611F">
        <w:t>purchase orders;</w:t>
      </w:r>
    </w:p>
    <w:p w14:paraId="4DDA21F2" w14:textId="77777777" w:rsidR="00395209" w:rsidRPr="0019611F" w:rsidRDefault="00395209" w:rsidP="00952E42">
      <w:pPr>
        <w:pStyle w:val="Bullet"/>
      </w:pPr>
      <w:r w:rsidRPr="0019611F">
        <w:t>University purchasing card (credit card);</w:t>
      </w:r>
    </w:p>
    <w:p w14:paraId="445525D8" w14:textId="77777777" w:rsidR="00395209" w:rsidRPr="0019611F" w:rsidRDefault="00395209" w:rsidP="00952E42">
      <w:pPr>
        <w:pStyle w:val="Bullet"/>
      </w:pPr>
      <w:r w:rsidRPr="0019611F">
        <w:t>approved suppliers;</w:t>
      </w:r>
    </w:p>
    <w:p w14:paraId="11999CA6" w14:textId="77777777" w:rsidR="00395209" w:rsidRPr="0019611F" w:rsidRDefault="00395209" w:rsidP="00952E42">
      <w:pPr>
        <w:pStyle w:val="Bullet"/>
      </w:pPr>
      <w:r w:rsidRPr="0019611F">
        <w:t>petty cash; and</w:t>
      </w:r>
    </w:p>
    <w:p w14:paraId="4D1B433A" w14:textId="77777777" w:rsidR="00395209" w:rsidRPr="0019611F" w:rsidRDefault="00395209" w:rsidP="00952E42">
      <w:pPr>
        <w:pStyle w:val="Bullet"/>
      </w:pPr>
      <w:r w:rsidRPr="0019611F">
        <w:t xml:space="preserve">reimbursement. </w:t>
      </w:r>
    </w:p>
    <w:p w14:paraId="29EEE761" w14:textId="77777777" w:rsidR="00395209" w:rsidRPr="0019611F" w:rsidRDefault="00395209" w:rsidP="0019611F">
      <w:r w:rsidRPr="0019611F">
        <w:t>The University may establish preferred suppliers by entering into contracts to provide goods and services with a supplier that has met University purchasing requirements.</w:t>
      </w:r>
    </w:p>
    <w:p w14:paraId="4D2F4FE0" w14:textId="7E5C5D3F" w:rsidR="00395209" w:rsidRPr="0019611F" w:rsidRDefault="00395209" w:rsidP="0019611F">
      <w:r w:rsidRPr="0019611F">
        <w:t xml:space="preserve">Purchasing documentation must be approved by recognised signatories before final payment can be processed by a purchasing officer. </w:t>
      </w:r>
    </w:p>
    <w:p w14:paraId="2B1823D6" w14:textId="77777777" w:rsidR="00395209" w:rsidRPr="0019611F" w:rsidRDefault="00395209" w:rsidP="0019611F">
      <w:r w:rsidRPr="0019611F">
        <w:t xml:space="preserve">Regardless of the purchasing method and financial approval requirements, </w:t>
      </w:r>
      <w:r w:rsidR="00244B52" w:rsidRPr="0019611F">
        <w:t>health and safety</w:t>
      </w:r>
      <w:r w:rsidRPr="0019611F">
        <w:t xml:space="preserve"> purchase requirements are based on the level of risk associated with the goods and services.</w:t>
      </w:r>
    </w:p>
    <w:p w14:paraId="58238BF4" w14:textId="6FF79B0E" w:rsidR="00395209" w:rsidRPr="0019611F" w:rsidRDefault="00395209" w:rsidP="0019611F">
      <w:r w:rsidRPr="0019611F">
        <w:t xml:space="preserve">Services that are adjunct to the supply of goods are managed in accordance with the </w:t>
      </w:r>
      <w:hyperlink r:id="rId9" w:history="1">
        <w:r w:rsidR="001A2239" w:rsidRPr="00C06246">
          <w:rPr>
            <w:rStyle w:val="Hyperlink"/>
          </w:rPr>
          <w:t>Health &amp; Safety: Service provider/contractor requirements</w:t>
        </w:r>
      </w:hyperlink>
      <w:r w:rsidRPr="0019611F">
        <w:t>. For example, the ongoing maintenance and repair of equipment provided as part of a service agreement.</w:t>
      </w:r>
    </w:p>
    <w:p w14:paraId="66BCE6DB" w14:textId="28842356" w:rsidR="00395209" w:rsidRPr="0019611F" w:rsidRDefault="00395209" w:rsidP="00B51FAE">
      <w:pPr>
        <w:pStyle w:val="Heading2"/>
      </w:pPr>
      <w:r w:rsidRPr="0019611F">
        <w:t>4.2</w:t>
      </w:r>
      <w:r w:rsidR="00B51FAE">
        <w:tab/>
      </w:r>
      <w:r w:rsidRPr="0019611F">
        <w:t xml:space="preserve">Pre-purchase assessment checklist </w:t>
      </w:r>
    </w:p>
    <w:p w14:paraId="77F149E1" w14:textId="0F07A2B4" w:rsidR="00395209" w:rsidRPr="0019611F" w:rsidRDefault="00395209" w:rsidP="00030860">
      <w:pPr>
        <w:spacing w:before="240"/>
      </w:pPr>
      <w:r w:rsidRPr="0019611F">
        <w:t xml:space="preserve">The Director, Health &amp; Safety </w:t>
      </w:r>
      <w:r w:rsidR="00244B52" w:rsidRPr="0019611F">
        <w:t>shall</w:t>
      </w:r>
      <w:r w:rsidRPr="0019611F">
        <w:t xml:space="preserve"> develop and publish a pre-purchase risk assessment checklist consistent with the University of Melbour</w:t>
      </w:r>
      <w:r w:rsidR="00282500" w:rsidRPr="0019611F">
        <w:t>ne risk assessment methodology.</w:t>
      </w:r>
    </w:p>
    <w:p w14:paraId="21BA2620" w14:textId="15031A7D" w:rsidR="0068537E" w:rsidRPr="00C06246" w:rsidRDefault="00000000" w:rsidP="0019611F">
      <w:pPr>
        <w:rPr>
          <w:rStyle w:val="Hyperlink"/>
        </w:rPr>
      </w:pPr>
      <w:hyperlink r:id="rId10" w:history="1">
        <w:r w:rsidR="0088296E" w:rsidRPr="00C06246">
          <w:rPr>
            <w:rStyle w:val="Hyperlink"/>
          </w:rPr>
          <w:t>Health &amp; Safety: Pre-purchase checklist</w:t>
        </w:r>
      </w:hyperlink>
    </w:p>
    <w:p w14:paraId="2F37EC0F" w14:textId="0904521D" w:rsidR="00395209" w:rsidRPr="0019611F" w:rsidRDefault="00395209" w:rsidP="0019611F">
      <w:r w:rsidRPr="0019611F">
        <w:t xml:space="preserve">The Director, Health &amp; Safety </w:t>
      </w:r>
      <w:r w:rsidR="00244B52" w:rsidRPr="0019611F">
        <w:t>shall</w:t>
      </w:r>
      <w:r w:rsidRPr="0019611F">
        <w:t xml:space="preserve"> develop and publish the guidance material to assist purchasers with the pre-purchase risk assessment checklist</w:t>
      </w:r>
      <w:r w:rsidR="00600FF3" w:rsidRPr="0019611F">
        <w:t xml:space="preserve"> including</w:t>
      </w:r>
      <w:r w:rsidRPr="0019611F">
        <w:t>:</w:t>
      </w:r>
    </w:p>
    <w:p w14:paraId="0F67B705" w14:textId="77777777" w:rsidR="00395209" w:rsidRPr="0019611F" w:rsidRDefault="00395209" w:rsidP="00952E42">
      <w:pPr>
        <w:pStyle w:val="Bullet"/>
      </w:pPr>
      <w:r w:rsidRPr="0019611F">
        <w:t>PPE</w:t>
      </w:r>
    </w:p>
    <w:p w14:paraId="18E4FDCE" w14:textId="77777777" w:rsidR="00395209" w:rsidRPr="0019611F" w:rsidRDefault="00395209" w:rsidP="00952E42">
      <w:pPr>
        <w:pStyle w:val="Bullet"/>
      </w:pPr>
      <w:r w:rsidRPr="0019611F">
        <w:t>office furniture</w:t>
      </w:r>
    </w:p>
    <w:p w14:paraId="23E98A26" w14:textId="77777777" w:rsidR="00395209" w:rsidRPr="0019611F" w:rsidRDefault="00395209" w:rsidP="00952E42">
      <w:pPr>
        <w:pStyle w:val="Bullet"/>
      </w:pPr>
      <w:r w:rsidRPr="0019611F">
        <w:t>chemicals</w:t>
      </w:r>
    </w:p>
    <w:p w14:paraId="5165A421" w14:textId="77777777" w:rsidR="00395209" w:rsidRPr="0019611F" w:rsidRDefault="00395209" w:rsidP="00952E42">
      <w:pPr>
        <w:pStyle w:val="Bullet"/>
      </w:pPr>
      <w:r w:rsidRPr="0019611F">
        <w:t>radiation sources</w:t>
      </w:r>
    </w:p>
    <w:p w14:paraId="4356550A" w14:textId="77777777" w:rsidR="00395209" w:rsidRPr="0019611F" w:rsidRDefault="00395209" w:rsidP="00952E42">
      <w:pPr>
        <w:pStyle w:val="Bullet"/>
      </w:pPr>
      <w:r w:rsidRPr="0019611F">
        <w:t>plant/equ</w:t>
      </w:r>
      <w:r w:rsidR="00600FF3" w:rsidRPr="0019611F">
        <w:t>ipment and electrical equipment</w:t>
      </w:r>
    </w:p>
    <w:p w14:paraId="62092C4F" w14:textId="46A104E7" w:rsidR="00600FF3" w:rsidRPr="0019611F" w:rsidRDefault="00000000" w:rsidP="0019611F">
      <w:hyperlink r:id="rId11" w:history="1">
        <w:r w:rsidR="007819DA" w:rsidRPr="0064627A">
          <w:rPr>
            <w:rStyle w:val="Hyperlink"/>
          </w:rPr>
          <w:t>Health &amp; Safety: Australian Standards commonly used in purchasing</w:t>
        </w:r>
      </w:hyperlink>
    </w:p>
    <w:p w14:paraId="14F5BE13" w14:textId="3FBFC6B4" w:rsidR="00395209" w:rsidRPr="0019611F" w:rsidRDefault="00395209" w:rsidP="00334677">
      <w:pPr>
        <w:pStyle w:val="Heading2"/>
      </w:pPr>
      <w:r w:rsidRPr="0019611F">
        <w:t>4.3</w:t>
      </w:r>
      <w:r w:rsidR="00334677">
        <w:tab/>
      </w:r>
      <w:r w:rsidRPr="0019611F">
        <w:t xml:space="preserve">Initial purchasing </w:t>
      </w:r>
    </w:p>
    <w:p w14:paraId="32899D8B" w14:textId="77777777" w:rsidR="00395209" w:rsidRPr="0019611F" w:rsidRDefault="00395209" w:rsidP="008F3B01">
      <w:pPr>
        <w:spacing w:before="240"/>
      </w:pPr>
      <w:r w:rsidRPr="0019611F">
        <w:t>For all initial purchases, before the authority to purchase is issued, the authorising officer must ensure:</w:t>
      </w:r>
    </w:p>
    <w:p w14:paraId="646DB1A3" w14:textId="2E503DCC" w:rsidR="00395209" w:rsidRPr="0019611F" w:rsidRDefault="00395209" w:rsidP="00952E42">
      <w:pPr>
        <w:pStyle w:val="Bullet"/>
      </w:pPr>
      <w:r w:rsidRPr="0019611F">
        <w:t>a pre-purchase assessment checklist is completed in accordance with the following table; and</w:t>
      </w:r>
    </w:p>
    <w:p w14:paraId="5F44B9BE" w14:textId="40D56D64" w:rsidR="00395209" w:rsidRDefault="00395209" w:rsidP="00952E42">
      <w:pPr>
        <w:pStyle w:val="Bullet"/>
      </w:pPr>
      <w:r w:rsidRPr="0019611F">
        <w:t xml:space="preserve">consultation with </w:t>
      </w:r>
      <w:r w:rsidR="00244B52" w:rsidRPr="0019611F">
        <w:t>workers</w:t>
      </w:r>
      <w:r w:rsidRPr="0019611F">
        <w:t xml:space="preserve"> has </w:t>
      </w:r>
      <w:r w:rsidR="00334677" w:rsidRPr="0019611F">
        <w:t>occurred</w:t>
      </w:r>
      <w:r w:rsidRPr="0019611F">
        <w:t xml:space="preserve"> in accordance with the </w:t>
      </w:r>
      <w:hyperlink r:id="rId12" w:history="1">
        <w:r w:rsidR="001260D0" w:rsidRPr="0064627A">
          <w:rPr>
            <w:rStyle w:val="Hyperlink"/>
          </w:rPr>
          <w:t>Health &amp; Safety: Consultation representation and committee requirements</w:t>
        </w:r>
      </w:hyperlink>
      <w:r w:rsidRPr="0019611F">
        <w:t>.</w:t>
      </w:r>
    </w:p>
    <w:p w14:paraId="41540F6D" w14:textId="50E09699" w:rsidR="0042065F" w:rsidRDefault="0042065F" w:rsidP="00952E42">
      <w:pPr>
        <w:pStyle w:val="Bullet"/>
        <w:numPr>
          <w:ilvl w:val="0"/>
          <w:numId w:val="0"/>
        </w:numPr>
        <w:ind w:left="720"/>
      </w:pPr>
    </w:p>
    <w:tbl>
      <w:tblPr>
        <w:tblStyle w:val="TableGrid"/>
        <w:tblW w:w="10915" w:type="dxa"/>
        <w:tblInd w:w="250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3544"/>
        <w:gridCol w:w="850"/>
        <w:gridCol w:w="6521"/>
      </w:tblGrid>
      <w:tr w:rsidR="00056768" w:rsidRPr="00056768" w14:paraId="50CF4FC6" w14:textId="77777777" w:rsidTr="003C7F60">
        <w:tc>
          <w:tcPr>
            <w:tcW w:w="3544" w:type="dxa"/>
            <w:shd w:val="clear" w:color="auto" w:fill="094183"/>
            <w:vAlign w:val="center"/>
          </w:tcPr>
          <w:p w14:paraId="3D3150A3" w14:textId="7B89680F" w:rsidR="00750B9C" w:rsidRPr="00056768" w:rsidRDefault="00750B9C" w:rsidP="00056768">
            <w:pPr>
              <w:pStyle w:val="Tableheadinglevel1"/>
            </w:pPr>
            <w:r w:rsidRPr="00056768">
              <w:lastRenderedPageBreak/>
              <w:t xml:space="preserve">Goods and services </w:t>
            </w:r>
          </w:p>
        </w:tc>
        <w:tc>
          <w:tcPr>
            <w:tcW w:w="850" w:type="dxa"/>
            <w:shd w:val="clear" w:color="auto" w:fill="094183"/>
            <w:vAlign w:val="center"/>
          </w:tcPr>
          <w:p w14:paraId="42959997" w14:textId="3E7BC69B" w:rsidR="00750B9C" w:rsidRPr="00056768" w:rsidRDefault="00750B9C" w:rsidP="00056768">
            <w:pPr>
              <w:pStyle w:val="Tableheadinglevel1"/>
            </w:pPr>
            <w:r w:rsidRPr="00056768">
              <w:t>Risk rating</w:t>
            </w:r>
          </w:p>
        </w:tc>
        <w:tc>
          <w:tcPr>
            <w:tcW w:w="6521" w:type="dxa"/>
            <w:shd w:val="clear" w:color="auto" w:fill="094183"/>
            <w:vAlign w:val="center"/>
          </w:tcPr>
          <w:p w14:paraId="661CE850" w14:textId="25239A83" w:rsidR="00750B9C" w:rsidRPr="00056768" w:rsidRDefault="00750B9C" w:rsidP="00056768">
            <w:pPr>
              <w:pStyle w:val="Tableheadinglevel1"/>
            </w:pPr>
            <w:r w:rsidRPr="00056768">
              <w:t>Documentation</w:t>
            </w:r>
          </w:p>
        </w:tc>
      </w:tr>
      <w:tr w:rsidR="00750B9C" w:rsidRPr="00056768" w14:paraId="4D1B85FE" w14:textId="77777777" w:rsidTr="003C7F60">
        <w:tc>
          <w:tcPr>
            <w:tcW w:w="3544" w:type="dxa"/>
            <w:vAlign w:val="center"/>
          </w:tcPr>
          <w:p w14:paraId="14F05047" w14:textId="616A0C4C" w:rsidR="00750B9C" w:rsidRPr="00056768" w:rsidRDefault="00750B9C" w:rsidP="00646B75">
            <w:pPr>
              <w:pStyle w:val="Tabletext"/>
            </w:pPr>
            <w:r w:rsidRPr="00056768">
              <w:t>Office stationery and supplies</w:t>
            </w:r>
          </w:p>
        </w:tc>
        <w:tc>
          <w:tcPr>
            <w:tcW w:w="850" w:type="dxa"/>
            <w:vAlign w:val="center"/>
          </w:tcPr>
          <w:p w14:paraId="0243E473" w14:textId="78450C24" w:rsidR="00750B9C" w:rsidRPr="00056768" w:rsidRDefault="00750B9C" w:rsidP="00646B75">
            <w:pPr>
              <w:pStyle w:val="Tabletext"/>
            </w:pPr>
            <w:r w:rsidRPr="00056768">
              <w:t>Low</w:t>
            </w:r>
          </w:p>
        </w:tc>
        <w:tc>
          <w:tcPr>
            <w:tcW w:w="6521" w:type="dxa"/>
            <w:vAlign w:val="center"/>
          </w:tcPr>
          <w:p w14:paraId="260A2B21" w14:textId="61EB4C02" w:rsidR="00750B9C" w:rsidRPr="00056768" w:rsidRDefault="00750B9C" w:rsidP="00646B75">
            <w:pPr>
              <w:pStyle w:val="Tabletext"/>
            </w:pPr>
            <w:r w:rsidRPr="00056768">
              <w:t>Nil</w:t>
            </w:r>
          </w:p>
        </w:tc>
      </w:tr>
      <w:tr w:rsidR="00750B9C" w14:paraId="36B654E2" w14:textId="77777777" w:rsidTr="003C7F60">
        <w:tc>
          <w:tcPr>
            <w:tcW w:w="3544" w:type="dxa"/>
            <w:vAlign w:val="center"/>
          </w:tcPr>
          <w:p w14:paraId="2507012B" w14:textId="3C669B66" w:rsidR="00750B9C" w:rsidRDefault="00750B9C" w:rsidP="00646B75">
            <w:pPr>
              <w:pStyle w:val="Tabletext"/>
            </w:pPr>
            <w:r w:rsidRPr="0019611F">
              <w:t>PPE</w:t>
            </w:r>
          </w:p>
        </w:tc>
        <w:tc>
          <w:tcPr>
            <w:tcW w:w="850" w:type="dxa"/>
            <w:vAlign w:val="center"/>
          </w:tcPr>
          <w:p w14:paraId="1E6A6212" w14:textId="0BEFB6B8" w:rsidR="00750B9C" w:rsidRDefault="00750B9C" w:rsidP="00646B75">
            <w:pPr>
              <w:pStyle w:val="Tabletext"/>
            </w:pPr>
            <w:r w:rsidRPr="0019611F">
              <w:t>Medium</w:t>
            </w:r>
          </w:p>
        </w:tc>
        <w:tc>
          <w:tcPr>
            <w:tcW w:w="6521" w:type="dxa"/>
            <w:vAlign w:val="center"/>
          </w:tcPr>
          <w:p w14:paraId="64B03DCB" w14:textId="3E33E27E" w:rsidR="00750B9C" w:rsidRDefault="00750B9C" w:rsidP="00646B75">
            <w:pPr>
              <w:pStyle w:val="Tabletext"/>
            </w:pPr>
            <w:r w:rsidRPr="0019611F">
              <w:t>Health &amp; Safety pre-purchase assessment checklist - PPE section</w:t>
            </w:r>
          </w:p>
        </w:tc>
      </w:tr>
      <w:tr w:rsidR="00750B9C" w14:paraId="5B7D092B" w14:textId="77777777" w:rsidTr="003C7F60">
        <w:tc>
          <w:tcPr>
            <w:tcW w:w="3544" w:type="dxa"/>
            <w:vAlign w:val="center"/>
          </w:tcPr>
          <w:p w14:paraId="17238AE7" w14:textId="47645F16" w:rsidR="00750B9C" w:rsidRDefault="00750B9C" w:rsidP="00646B75">
            <w:pPr>
              <w:pStyle w:val="Tabletext"/>
            </w:pPr>
            <w:r w:rsidRPr="0019611F">
              <w:t>Office Furniture</w:t>
            </w:r>
          </w:p>
        </w:tc>
        <w:tc>
          <w:tcPr>
            <w:tcW w:w="850" w:type="dxa"/>
            <w:vAlign w:val="center"/>
          </w:tcPr>
          <w:p w14:paraId="3E83D54D" w14:textId="06416B37" w:rsidR="00750B9C" w:rsidRDefault="00750B9C" w:rsidP="00646B75">
            <w:pPr>
              <w:pStyle w:val="Tabletext"/>
            </w:pPr>
            <w:r w:rsidRPr="0019611F">
              <w:t>Medium</w:t>
            </w:r>
          </w:p>
        </w:tc>
        <w:tc>
          <w:tcPr>
            <w:tcW w:w="6521" w:type="dxa"/>
            <w:vAlign w:val="center"/>
          </w:tcPr>
          <w:p w14:paraId="7E9FB6A1" w14:textId="3D7873F5" w:rsidR="00750B9C" w:rsidRDefault="00750B9C" w:rsidP="00646B75">
            <w:pPr>
              <w:pStyle w:val="Tabletext"/>
            </w:pPr>
            <w:r w:rsidRPr="0019611F">
              <w:t>Health &amp; Safety pre-purchase assessment checklist - Ergonomic section</w:t>
            </w:r>
          </w:p>
        </w:tc>
      </w:tr>
      <w:tr w:rsidR="00750B9C" w14:paraId="3B3A1CB5" w14:textId="77777777" w:rsidTr="003C7F60">
        <w:tc>
          <w:tcPr>
            <w:tcW w:w="3544" w:type="dxa"/>
            <w:vAlign w:val="center"/>
          </w:tcPr>
          <w:p w14:paraId="603CD876" w14:textId="70A0B052" w:rsidR="00750B9C" w:rsidRDefault="00750B9C" w:rsidP="00646B75">
            <w:pPr>
              <w:pStyle w:val="Tabletext"/>
            </w:pPr>
            <w:r w:rsidRPr="0019611F">
              <w:t>Chemicals</w:t>
            </w:r>
          </w:p>
        </w:tc>
        <w:tc>
          <w:tcPr>
            <w:tcW w:w="850" w:type="dxa"/>
            <w:vAlign w:val="center"/>
          </w:tcPr>
          <w:p w14:paraId="0756F9C0" w14:textId="16BAE391" w:rsidR="00750B9C" w:rsidRDefault="00750B9C" w:rsidP="00646B75">
            <w:pPr>
              <w:pStyle w:val="Tabletext"/>
            </w:pPr>
            <w:r w:rsidRPr="0019611F">
              <w:t>High</w:t>
            </w:r>
          </w:p>
        </w:tc>
        <w:tc>
          <w:tcPr>
            <w:tcW w:w="6521" w:type="dxa"/>
            <w:vAlign w:val="center"/>
          </w:tcPr>
          <w:p w14:paraId="7F812888" w14:textId="4DAC10C9" w:rsidR="00750B9C" w:rsidRDefault="00750B9C" w:rsidP="00646B75">
            <w:pPr>
              <w:pStyle w:val="Tabletext"/>
            </w:pPr>
            <w:r w:rsidRPr="0019611F">
              <w:t xml:space="preserve">Health &amp; Safety pre-purchase </w:t>
            </w:r>
            <w:r w:rsidR="00846E3C" w:rsidRPr="0019611F">
              <w:t>assessment</w:t>
            </w:r>
            <w:r w:rsidRPr="0019611F">
              <w:t xml:space="preserve"> checklist - Chemical section</w:t>
            </w:r>
          </w:p>
        </w:tc>
      </w:tr>
      <w:tr w:rsidR="00750B9C" w14:paraId="3981C079" w14:textId="77777777" w:rsidTr="003C7F60">
        <w:tc>
          <w:tcPr>
            <w:tcW w:w="3544" w:type="dxa"/>
            <w:vAlign w:val="center"/>
          </w:tcPr>
          <w:p w14:paraId="78105F14" w14:textId="5F99381E" w:rsidR="00750B9C" w:rsidRDefault="00750B9C" w:rsidP="00646B75">
            <w:pPr>
              <w:pStyle w:val="Tabletext"/>
            </w:pPr>
            <w:r w:rsidRPr="0019611F">
              <w:t>Radiation Sources</w:t>
            </w:r>
          </w:p>
        </w:tc>
        <w:tc>
          <w:tcPr>
            <w:tcW w:w="850" w:type="dxa"/>
            <w:vAlign w:val="center"/>
          </w:tcPr>
          <w:p w14:paraId="3734C62A" w14:textId="1AB8E933" w:rsidR="00750B9C" w:rsidRDefault="00750B9C" w:rsidP="00646B75">
            <w:pPr>
              <w:pStyle w:val="Tabletext"/>
            </w:pPr>
            <w:r w:rsidRPr="0019611F">
              <w:t>High</w:t>
            </w:r>
          </w:p>
        </w:tc>
        <w:tc>
          <w:tcPr>
            <w:tcW w:w="6521" w:type="dxa"/>
            <w:vAlign w:val="center"/>
          </w:tcPr>
          <w:p w14:paraId="41063265" w14:textId="7318B0ED" w:rsidR="00750B9C" w:rsidRDefault="00750B9C" w:rsidP="00646B75">
            <w:pPr>
              <w:pStyle w:val="Tabletext"/>
            </w:pPr>
            <w:r w:rsidRPr="0019611F">
              <w:t>Health &amp; Safety pre-purchase risk assessment checklist - Radiation section</w:t>
            </w:r>
          </w:p>
        </w:tc>
      </w:tr>
      <w:tr w:rsidR="00750B9C" w14:paraId="4E448691" w14:textId="77777777" w:rsidTr="003C7F60">
        <w:tc>
          <w:tcPr>
            <w:tcW w:w="3544" w:type="dxa"/>
            <w:vAlign w:val="center"/>
          </w:tcPr>
          <w:p w14:paraId="3B6C8F6E" w14:textId="140ABA55" w:rsidR="00750B9C" w:rsidRDefault="00750B9C" w:rsidP="00646B75">
            <w:pPr>
              <w:pStyle w:val="Tabletext"/>
            </w:pPr>
            <w:r w:rsidRPr="0019611F">
              <w:t>Plant/Equipment and Electrical Equipment</w:t>
            </w:r>
          </w:p>
        </w:tc>
        <w:tc>
          <w:tcPr>
            <w:tcW w:w="850" w:type="dxa"/>
            <w:vAlign w:val="center"/>
          </w:tcPr>
          <w:p w14:paraId="315D1D14" w14:textId="42D713DB" w:rsidR="00750B9C" w:rsidRDefault="00750B9C" w:rsidP="00646B75">
            <w:pPr>
              <w:pStyle w:val="Tabletext"/>
            </w:pPr>
            <w:r w:rsidRPr="0019611F">
              <w:t>High</w:t>
            </w:r>
          </w:p>
        </w:tc>
        <w:tc>
          <w:tcPr>
            <w:tcW w:w="6521" w:type="dxa"/>
            <w:vAlign w:val="center"/>
          </w:tcPr>
          <w:p w14:paraId="7181A9A8" w14:textId="642EA75F" w:rsidR="00750B9C" w:rsidRDefault="00750B9C" w:rsidP="00646B75">
            <w:pPr>
              <w:pStyle w:val="Tabletext"/>
            </w:pPr>
            <w:r w:rsidRPr="0019611F">
              <w:t>Health &amp; Safety pre-purchase assessment checklist - Plant and Equipment section</w:t>
            </w:r>
          </w:p>
        </w:tc>
      </w:tr>
    </w:tbl>
    <w:p w14:paraId="4364109A" w14:textId="1AA85CD5" w:rsidR="00395209" w:rsidRPr="0019611F" w:rsidRDefault="00395209" w:rsidP="00646B75">
      <w:pPr>
        <w:spacing w:before="240"/>
      </w:pPr>
      <w:r w:rsidRPr="0019611F">
        <w:t>Where pre-purchasing assessment documentation is not required, the person purchasing/ordering/requesting the goods must still ensure that the goods do not pose a risk to health and safety.</w:t>
      </w:r>
    </w:p>
    <w:p w14:paraId="70DDCDAB" w14:textId="79FB8DD2" w:rsidR="00395209" w:rsidRPr="0019611F" w:rsidRDefault="00395209" w:rsidP="00646B75">
      <w:pPr>
        <w:pStyle w:val="Heading2"/>
      </w:pPr>
      <w:r w:rsidRPr="0019611F">
        <w:t>4.4</w:t>
      </w:r>
      <w:r w:rsidR="00646B75">
        <w:tab/>
      </w:r>
      <w:r w:rsidRPr="0019611F">
        <w:t xml:space="preserve">Subsequent purchasing </w:t>
      </w:r>
    </w:p>
    <w:p w14:paraId="0827FE47" w14:textId="0148A2BE" w:rsidR="00395209" w:rsidRPr="0019611F" w:rsidRDefault="00395209" w:rsidP="00646B75">
      <w:pPr>
        <w:spacing w:before="240"/>
      </w:pPr>
      <w:r w:rsidRPr="0019611F">
        <w:t>For repeat purchases the authorising officer must verify that a Health &amp; Safety</w:t>
      </w:r>
      <w:r w:rsidR="00646B75">
        <w:t>:</w:t>
      </w:r>
      <w:r w:rsidRPr="0019611F">
        <w:t xml:space="preserve"> </w:t>
      </w:r>
      <w:r w:rsidR="00646B75">
        <w:t>P</w:t>
      </w:r>
      <w:r w:rsidRPr="0019611F">
        <w:t xml:space="preserve">re-purchase assessment checklist has been completed in accordance with </w:t>
      </w:r>
      <w:r w:rsidR="00646B75">
        <w:t>S</w:t>
      </w:r>
      <w:r w:rsidRPr="0019611F">
        <w:t>ection 4.3.</w:t>
      </w:r>
    </w:p>
    <w:p w14:paraId="0152A5AA" w14:textId="1A7CE965" w:rsidR="00395209" w:rsidRPr="0019611F" w:rsidRDefault="00395209" w:rsidP="0019611F">
      <w:r w:rsidRPr="0019611F">
        <w:t xml:space="preserve">Where </w:t>
      </w:r>
      <w:proofErr w:type="gramStart"/>
      <w:r w:rsidRPr="0019611F">
        <w:t>an</w:t>
      </w:r>
      <w:proofErr w:type="gramEnd"/>
      <w:r w:rsidRPr="0019611F">
        <w:t xml:space="preserve"> Health &amp; Safety</w:t>
      </w:r>
      <w:r w:rsidR="00646B75">
        <w:t>: P</w:t>
      </w:r>
      <w:r w:rsidRPr="0019611F">
        <w:t xml:space="preserve">re-purchase assessment checklist has not been completed, the authorising officer must ensure that it is competed in accordance with </w:t>
      </w:r>
      <w:r w:rsidR="00646B75">
        <w:t>S</w:t>
      </w:r>
      <w:r w:rsidRPr="0019611F">
        <w:t>ection 4.3.</w:t>
      </w:r>
    </w:p>
    <w:p w14:paraId="5AAA2341" w14:textId="75B4DC9F" w:rsidR="00395209" w:rsidRPr="0019611F" w:rsidRDefault="00395209" w:rsidP="00646B75">
      <w:pPr>
        <w:pStyle w:val="Heading2"/>
      </w:pPr>
      <w:r w:rsidRPr="0019611F">
        <w:t>4.5</w:t>
      </w:r>
      <w:r w:rsidR="00646B75">
        <w:tab/>
      </w:r>
      <w:r w:rsidRPr="0019611F">
        <w:t xml:space="preserve">Receiving requirements </w:t>
      </w:r>
    </w:p>
    <w:p w14:paraId="4C174CCE" w14:textId="3833D127" w:rsidR="00395209" w:rsidRPr="0019611F" w:rsidRDefault="00646B75" w:rsidP="00646B75">
      <w:pPr>
        <w:spacing w:before="240"/>
      </w:pPr>
      <w:r>
        <w:t>Employees</w:t>
      </w:r>
      <w:r w:rsidR="00395209" w:rsidRPr="0019611F">
        <w:t xml:space="preserve"> receiving goods or </w:t>
      </w:r>
      <w:r w:rsidR="00244B52" w:rsidRPr="0019611F">
        <w:t>workers</w:t>
      </w:r>
      <w:r w:rsidR="00395209" w:rsidRPr="0019611F">
        <w:t xml:space="preserve"> who put goods into service must ensure that the goods co</w:t>
      </w:r>
      <w:r w:rsidR="00244B52" w:rsidRPr="0019611F">
        <w:t>nform to the health and s</w:t>
      </w:r>
      <w:r w:rsidR="00395209" w:rsidRPr="0019611F">
        <w:t>afety requirements specified to the supplier.</w:t>
      </w:r>
    </w:p>
    <w:p w14:paraId="34EA581F" w14:textId="77777777" w:rsidR="00395209" w:rsidRPr="0019611F" w:rsidRDefault="00395209" w:rsidP="0019611F">
      <w:r w:rsidRPr="0019611F">
        <w:t>Where g</w:t>
      </w:r>
      <w:r w:rsidR="00244B52" w:rsidRPr="0019611F">
        <w:t>oods do not meet the specified h</w:t>
      </w:r>
      <w:r w:rsidRPr="0019611F">
        <w:t xml:space="preserve">ealth </w:t>
      </w:r>
      <w:r w:rsidR="00244B52" w:rsidRPr="0019611F">
        <w:t>and s</w:t>
      </w:r>
      <w:r w:rsidRPr="0019611F">
        <w:t>afety requirements, arrangements must be made for:</w:t>
      </w:r>
    </w:p>
    <w:p w14:paraId="1D437C93" w14:textId="77777777" w:rsidR="00395209" w:rsidRPr="0019611F" w:rsidRDefault="00395209" w:rsidP="00952E42">
      <w:pPr>
        <w:pStyle w:val="Bullet"/>
      </w:pPr>
      <w:r w:rsidRPr="0019611F">
        <w:t>refusing delivery of the goods; or</w:t>
      </w:r>
    </w:p>
    <w:p w14:paraId="410EC8AD" w14:textId="77777777" w:rsidR="00395209" w:rsidRPr="0019611F" w:rsidRDefault="00395209" w:rsidP="00952E42">
      <w:pPr>
        <w:pStyle w:val="Bullet"/>
      </w:pPr>
      <w:r w:rsidRPr="0019611F">
        <w:t>isolating the goods from use; or</w:t>
      </w:r>
    </w:p>
    <w:p w14:paraId="6F35744E" w14:textId="77777777" w:rsidR="00395209" w:rsidRPr="0019611F" w:rsidRDefault="00244B52" w:rsidP="00952E42">
      <w:pPr>
        <w:pStyle w:val="Bullet"/>
      </w:pPr>
      <w:r w:rsidRPr="0019611F">
        <w:t>if h</w:t>
      </w:r>
      <w:r w:rsidR="00395209" w:rsidRPr="0019611F">
        <w:t xml:space="preserve">ealth </w:t>
      </w:r>
      <w:r w:rsidRPr="0019611F">
        <w:t xml:space="preserve">and </w:t>
      </w:r>
      <w:r w:rsidRPr="00952E42">
        <w:t>s</w:t>
      </w:r>
      <w:r w:rsidR="00395209" w:rsidRPr="00952E42">
        <w:t>afety</w:t>
      </w:r>
      <w:r w:rsidR="00395209" w:rsidRPr="0019611F">
        <w:t xml:space="preserve"> requirements can be met, using the goods for another appropriate purpose.</w:t>
      </w:r>
    </w:p>
    <w:p w14:paraId="70BBBDE8" w14:textId="77777777" w:rsidR="00395209" w:rsidRPr="0019611F" w:rsidRDefault="00395209" w:rsidP="0019611F">
      <w:r w:rsidRPr="0019611F">
        <w:t>A record of verification must be made by the person receiving the goods. For example:</w:t>
      </w:r>
    </w:p>
    <w:p w14:paraId="6D716AEF" w14:textId="77777777" w:rsidR="00395209" w:rsidRPr="0019611F" w:rsidRDefault="00395209" w:rsidP="00952E42">
      <w:pPr>
        <w:pStyle w:val="Bullet"/>
      </w:pPr>
      <w:r w:rsidRPr="0019611F">
        <w:t>verifying on the invoice or delivery document; or</w:t>
      </w:r>
    </w:p>
    <w:p w14:paraId="33204431" w14:textId="77777777" w:rsidR="00395209" w:rsidRPr="0019611F" w:rsidRDefault="00395209" w:rsidP="00952E42">
      <w:pPr>
        <w:pStyle w:val="Bullet"/>
      </w:pPr>
      <w:r w:rsidRPr="0019611F">
        <w:t>verifying on the purchase order.</w:t>
      </w:r>
    </w:p>
    <w:p w14:paraId="77E4DEE5" w14:textId="0BC91153" w:rsidR="00395209" w:rsidRPr="0019611F" w:rsidRDefault="009576DF" w:rsidP="007819DA">
      <w:pPr>
        <w:pStyle w:val="Heading1"/>
      </w:pPr>
      <w:r w:rsidRPr="0019611F">
        <w:t>5</w:t>
      </w:r>
      <w:r w:rsidR="007819DA">
        <w:tab/>
      </w:r>
      <w:r w:rsidR="00395209" w:rsidRPr="0019611F">
        <w:t xml:space="preserve">Responsibilities </w:t>
      </w:r>
    </w:p>
    <w:p w14:paraId="2247E1E4" w14:textId="28BACFB4" w:rsidR="00395209" w:rsidRPr="0019611F" w:rsidRDefault="00395209" w:rsidP="0019611F">
      <w:r w:rsidRPr="0019611F">
        <w:t>Director, Health &amp; Safety</w:t>
      </w:r>
    </w:p>
    <w:p w14:paraId="3AB1B47B" w14:textId="77777777" w:rsidR="00395209" w:rsidRPr="0019611F" w:rsidRDefault="00395209" w:rsidP="0019611F">
      <w:r w:rsidRPr="0019611F">
        <w:t>Authorising officers</w:t>
      </w:r>
    </w:p>
    <w:p w14:paraId="4E65A58E" w14:textId="77777777" w:rsidR="00395209" w:rsidRPr="0019611F" w:rsidRDefault="00395209" w:rsidP="0019611F">
      <w:r w:rsidRPr="0019611F">
        <w:t>Purchasing officers</w:t>
      </w:r>
    </w:p>
    <w:p w14:paraId="2C8D0E61" w14:textId="77777777" w:rsidR="00395209" w:rsidRPr="0019611F" w:rsidRDefault="00395209" w:rsidP="0019611F">
      <w:r w:rsidRPr="0019611F">
        <w:t>Personnel responsible for receiving goods or putting goods into service</w:t>
      </w:r>
    </w:p>
    <w:p w14:paraId="3A6D7841" w14:textId="5816575C" w:rsidR="00395209" w:rsidRPr="0019611F" w:rsidRDefault="00395209" w:rsidP="00B54CF0">
      <w:pPr>
        <w:pStyle w:val="Heading1"/>
      </w:pPr>
      <w:r w:rsidRPr="0019611F">
        <w:t>6</w:t>
      </w:r>
      <w:r w:rsidR="00B54CF0">
        <w:tab/>
      </w:r>
      <w:r w:rsidRPr="0019611F">
        <w:t xml:space="preserve">References </w:t>
      </w:r>
    </w:p>
    <w:p w14:paraId="14AB275D" w14:textId="68C04996" w:rsidR="00395209" w:rsidRPr="0019611F" w:rsidRDefault="00000000" w:rsidP="0019611F">
      <w:hyperlink r:id="rId13" w:history="1">
        <w:r w:rsidR="00334677" w:rsidRPr="0064627A">
          <w:rPr>
            <w:rStyle w:val="Hyperlink"/>
          </w:rPr>
          <w:t>Health &amp; Safety: Service provider/contractor requirements</w:t>
        </w:r>
      </w:hyperlink>
    </w:p>
    <w:p w14:paraId="214EA193" w14:textId="7C178A01" w:rsidR="001260D0" w:rsidRDefault="00000000" w:rsidP="0019611F">
      <w:hyperlink r:id="rId14" w:history="1">
        <w:r w:rsidR="001260D0" w:rsidRPr="0064627A">
          <w:rPr>
            <w:rStyle w:val="Hyperlink"/>
          </w:rPr>
          <w:t>Health &amp; Safety: Consultation representation and committee requirements</w:t>
        </w:r>
      </w:hyperlink>
    </w:p>
    <w:p w14:paraId="2301F2F8" w14:textId="7F2654CC" w:rsidR="00395209" w:rsidRPr="0019611F" w:rsidRDefault="00395209" w:rsidP="00FA4ABB">
      <w:pPr>
        <w:pStyle w:val="Heading1"/>
      </w:pPr>
      <w:r w:rsidRPr="0019611F">
        <w:lastRenderedPageBreak/>
        <w:t>7</w:t>
      </w:r>
      <w:r w:rsidR="00FA4ABB">
        <w:tab/>
      </w:r>
      <w:r w:rsidR="009576DF" w:rsidRPr="0019611F">
        <w:t>Document Control</w:t>
      </w:r>
      <w:r w:rsidRPr="0019611F">
        <w:t xml:space="preserve"> </w:t>
      </w:r>
    </w:p>
    <w:p w14:paraId="197EF796" w14:textId="451537BD" w:rsidR="00FA4ABB" w:rsidRDefault="00FA4ABB" w:rsidP="00FA4ABB">
      <w:pPr>
        <w:pStyle w:val="Heading2"/>
      </w:pPr>
      <w:r>
        <w:t>7.1</w:t>
      </w:r>
      <w:r>
        <w:tab/>
        <w:t>Processes</w:t>
      </w:r>
    </w:p>
    <w:p w14:paraId="36ED078A" w14:textId="7325D8C2" w:rsidR="00FA4ABB" w:rsidRPr="00961C55" w:rsidRDefault="00961C55" w:rsidP="00961C55">
      <w:pPr>
        <w:spacing w:before="240"/>
        <w:rPr>
          <w:rStyle w:val="Hyperlink"/>
          <w:color w:val="auto"/>
          <w:u w:val="none"/>
        </w:rPr>
      </w:pPr>
      <w:r w:rsidRPr="00961C55">
        <w:rPr>
          <w:rStyle w:val="Hyperlink"/>
          <w:color w:val="auto"/>
          <w:u w:val="none"/>
        </w:rPr>
        <w:t>Nil</w:t>
      </w:r>
    </w:p>
    <w:p w14:paraId="3E470F00" w14:textId="77777777" w:rsidR="00FA4ABB" w:rsidRDefault="00FA4ABB" w:rsidP="00FA4ABB"/>
    <w:p w14:paraId="471752FC" w14:textId="6235FF70" w:rsidR="00FA4ABB" w:rsidRDefault="00FA4ABB" w:rsidP="00FA4ABB">
      <w:pPr>
        <w:pStyle w:val="Heading2"/>
      </w:pPr>
      <w:r>
        <w:t>7.2</w:t>
      </w:r>
      <w:r>
        <w:tab/>
        <w:t>Forms</w:t>
      </w:r>
    </w:p>
    <w:p w14:paraId="64D75B2C" w14:textId="1A59AC4D" w:rsidR="00FA4ABB" w:rsidRPr="0064627A" w:rsidRDefault="00000000" w:rsidP="00FA4ABB">
      <w:pPr>
        <w:spacing w:before="240"/>
        <w:rPr>
          <w:rStyle w:val="Hyperlink"/>
        </w:rPr>
      </w:pPr>
      <w:hyperlink r:id="rId15" w:history="1">
        <w:r w:rsidR="00FA4ABB" w:rsidRPr="0064627A">
          <w:rPr>
            <w:rStyle w:val="Hyperlink"/>
          </w:rPr>
          <w:t>Health &amp; Safety: Pre-purchase checklist</w:t>
        </w:r>
      </w:hyperlink>
    </w:p>
    <w:p w14:paraId="34D187B8" w14:textId="2E163469" w:rsidR="00FA4ABB" w:rsidRDefault="00FA4ABB" w:rsidP="00FA4ABB"/>
    <w:p w14:paraId="6550646D" w14:textId="1312C61B" w:rsidR="00FA4ABB" w:rsidRDefault="00FA4ABB" w:rsidP="00FA4ABB">
      <w:pPr>
        <w:pStyle w:val="Heading2"/>
      </w:pPr>
      <w:r>
        <w:t>7.3</w:t>
      </w:r>
      <w:r>
        <w:tab/>
        <w:t>Guidance</w:t>
      </w:r>
    </w:p>
    <w:p w14:paraId="52CADE55" w14:textId="1D6F9020" w:rsidR="001260D0" w:rsidRDefault="00000000" w:rsidP="00FA4ABB">
      <w:pPr>
        <w:spacing w:before="240"/>
        <w:rPr>
          <w:rStyle w:val="Hyperlink"/>
        </w:rPr>
      </w:pPr>
      <w:hyperlink r:id="rId16" w:history="1">
        <w:r w:rsidR="001260D0" w:rsidRPr="002F7361">
          <w:rPr>
            <w:rStyle w:val="Hyperlink"/>
          </w:rPr>
          <w:t>Health &amp; Safety: Australian Standards commonly used in purchasing</w:t>
        </w:r>
      </w:hyperlink>
    </w:p>
    <w:p w14:paraId="70013C75" w14:textId="157FF586" w:rsidR="00035A0E" w:rsidRPr="0019611F" w:rsidRDefault="00000000" w:rsidP="00FA4ABB">
      <w:pPr>
        <w:spacing w:before="240"/>
      </w:pPr>
      <w:hyperlink r:id="rId17" w:history="1">
        <w:r w:rsidR="00035A0E" w:rsidRPr="002F7361">
          <w:rPr>
            <w:rStyle w:val="Hyperlink"/>
          </w:rPr>
          <w:t>Safety Bulletin: Pre-purchase assessment</w:t>
        </w:r>
      </w:hyperlink>
    </w:p>
    <w:sectPr w:rsidR="00035A0E" w:rsidRPr="0019611F" w:rsidSect="0019611F">
      <w:footerReference w:type="default" r:id="rId18"/>
      <w:pgSz w:w="11906" w:h="16838" w:code="9"/>
      <w:pgMar w:top="397" w:right="397" w:bottom="964" w:left="39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AB41" w14:textId="77777777" w:rsidR="00B56956" w:rsidRDefault="00B56956" w:rsidP="006C551B">
      <w:pPr>
        <w:spacing w:after="0" w:line="240" w:lineRule="auto"/>
      </w:pPr>
      <w:r>
        <w:separator/>
      </w:r>
    </w:p>
  </w:endnote>
  <w:endnote w:type="continuationSeparator" w:id="0">
    <w:p w14:paraId="463C973E" w14:textId="77777777" w:rsidR="00B56956" w:rsidRDefault="00B56956" w:rsidP="006C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414A" w14:textId="77777777" w:rsidR="00E24216" w:rsidRPr="00897C96" w:rsidRDefault="00E24216" w:rsidP="00E24216">
    <w:pPr>
      <w:pStyle w:val="footertext"/>
      <w:pBdr>
        <w:bottom w:val="single" w:sz="4" w:space="1" w:color="auto"/>
      </w:pBdr>
      <w:tabs>
        <w:tab w:val="right" w:pos="11113"/>
      </w:tabs>
      <w:rPr>
        <w:caps/>
      </w:rPr>
    </w:pPr>
    <w:r>
      <w:rPr>
        <w:rStyle w:val="footerfieldlabelChar"/>
      </w:rPr>
      <w:t>safety.unimelb.edu.au</w:t>
    </w:r>
    <w:r>
      <w:tab/>
    </w:r>
    <w:r>
      <w:rPr>
        <w:rStyle w:val="footerdocheaderChar"/>
        <w:rFonts w:eastAsiaTheme="majorEastAsia"/>
      </w:rPr>
      <w:t>Health &amp; safety: document heading</w:t>
    </w:r>
    <w:r w:rsidRPr="00C22390">
      <w:t xml:space="preserve">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PAGE </w:instrText>
    </w:r>
    <w:r w:rsidRPr="00C22390">
      <w:rPr>
        <w:rStyle w:val="footerfieldlabelChar"/>
      </w:rPr>
      <w:fldChar w:fldCharType="separate"/>
    </w:r>
    <w:r>
      <w:rPr>
        <w:rStyle w:val="footerfieldlabelChar"/>
      </w:rPr>
      <w:t>1</w:t>
    </w:r>
    <w:r w:rsidRPr="00C22390">
      <w:rPr>
        <w:rStyle w:val="footerfieldlabelChar"/>
      </w:rPr>
      <w:fldChar w:fldCharType="end"/>
    </w:r>
    <w:r w:rsidRPr="00C22390">
      <w:rPr>
        <w:rStyle w:val="footerfieldlabelChar"/>
      </w:rPr>
      <w:t xml:space="preserve"> of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NUMPAGES   \* MERGEFORMAT </w:instrText>
    </w:r>
    <w:r w:rsidRPr="00C22390">
      <w:rPr>
        <w:rStyle w:val="footerfieldlabelChar"/>
      </w:rPr>
      <w:fldChar w:fldCharType="separate"/>
    </w:r>
    <w:r>
      <w:rPr>
        <w:rStyle w:val="footerfieldlabelChar"/>
      </w:rPr>
      <w:t>2</w:t>
    </w:r>
    <w:r w:rsidRPr="00C22390">
      <w:rPr>
        <w:rStyle w:val="footerfieldlabelChar"/>
      </w:rPr>
      <w:fldChar w:fldCharType="end"/>
    </w:r>
  </w:p>
  <w:p w14:paraId="5C6089C0" w14:textId="4696CC6B" w:rsidR="00E24216" w:rsidRPr="00C22390" w:rsidRDefault="00E24216" w:rsidP="002F7361">
    <w:pPr>
      <w:pStyle w:val="footertext"/>
      <w:tabs>
        <w:tab w:val="left" w:pos="4111"/>
      </w:tabs>
      <w:jc w:val="right"/>
    </w:pPr>
    <w:r w:rsidRPr="00C22390">
      <w:rPr>
        <w:rStyle w:val="footerfieldlabelChar"/>
        <w:rFonts w:ascii="Calibri" w:hAnsi="Calibri"/>
      </w:rPr>
      <w:t>Date</w:t>
    </w:r>
    <w:r>
      <w:t xml:space="preserve">: </w:t>
    </w:r>
    <w:r w:rsidR="00ED2CB3">
      <w:t>July 2021</w:t>
    </w:r>
    <w:r w:rsidRPr="00C22390">
      <w:t xml:space="preserve">  </w:t>
    </w:r>
    <w:r w:rsidRPr="00C22390">
      <w:rPr>
        <w:rStyle w:val="footerfieldlabelChar"/>
        <w:rFonts w:ascii="Calibri" w:hAnsi="Calibri"/>
      </w:rPr>
      <w:t>Version</w:t>
    </w:r>
    <w:r>
      <w:t>: 1.</w:t>
    </w:r>
    <w:r w:rsidR="002F7361">
      <w:t>2</w:t>
    </w:r>
    <w:r w:rsidRPr="00C22390">
      <w:t xml:space="preserve"> </w:t>
    </w:r>
    <w:proofErr w:type="spellStart"/>
    <w:r w:rsidRPr="00C22390">
      <w:rPr>
        <w:rStyle w:val="footerfieldlabelChar"/>
        <w:rFonts w:ascii="Calibri" w:hAnsi="Calibri"/>
      </w:rPr>
      <w:t>Authorised</w:t>
    </w:r>
    <w:proofErr w:type="spellEnd"/>
    <w:r w:rsidRPr="00C22390">
      <w:rPr>
        <w:rStyle w:val="footerfieldlabelChar"/>
        <w:rFonts w:ascii="Calibri" w:hAnsi="Calibri"/>
      </w:rPr>
      <w:t xml:space="preserve"> by</w:t>
    </w:r>
    <w:r w:rsidRPr="00C22390">
      <w:t xml:space="preserve">: </w:t>
    </w:r>
    <w:r w:rsidR="002F7361">
      <w:t>Director</w:t>
    </w:r>
    <w:r>
      <w:t>, Health &amp; Safety</w:t>
    </w:r>
    <w:r w:rsidR="00ED2CB3">
      <w:t xml:space="preserve"> </w:t>
    </w:r>
    <w:r w:rsidRPr="00C22390">
      <w:rPr>
        <w:rStyle w:val="footerfieldlabelChar"/>
        <w:rFonts w:ascii="Calibri" w:hAnsi="Calibri"/>
      </w:rPr>
      <w:t>Next Review</w:t>
    </w:r>
    <w:r>
      <w:t>: February 2024</w:t>
    </w:r>
  </w:p>
  <w:p w14:paraId="288A7BA7" w14:textId="7E629324" w:rsidR="006C551B" w:rsidRDefault="00E24216" w:rsidP="00E24216">
    <w:pPr>
      <w:pStyle w:val="footertext"/>
      <w:jc w:val="right"/>
    </w:pPr>
    <w:r w:rsidRPr="00C22390"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125B" w14:textId="77777777" w:rsidR="00B56956" w:rsidRDefault="00B56956" w:rsidP="006C551B">
      <w:pPr>
        <w:spacing w:after="0" w:line="240" w:lineRule="auto"/>
      </w:pPr>
      <w:r>
        <w:separator/>
      </w:r>
    </w:p>
  </w:footnote>
  <w:footnote w:type="continuationSeparator" w:id="0">
    <w:p w14:paraId="0E6A390A" w14:textId="77777777" w:rsidR="00B56956" w:rsidRDefault="00B56956" w:rsidP="006C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548"/>
    <w:multiLevelType w:val="multilevel"/>
    <w:tmpl w:val="9D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54F7A"/>
    <w:multiLevelType w:val="multilevel"/>
    <w:tmpl w:val="A1C8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37657"/>
    <w:multiLevelType w:val="multilevel"/>
    <w:tmpl w:val="7630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95A29"/>
    <w:multiLevelType w:val="multilevel"/>
    <w:tmpl w:val="349A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F43FA"/>
    <w:multiLevelType w:val="multilevel"/>
    <w:tmpl w:val="2F30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E56F6"/>
    <w:multiLevelType w:val="multilevel"/>
    <w:tmpl w:val="BF62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52B38"/>
    <w:multiLevelType w:val="multilevel"/>
    <w:tmpl w:val="5E7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66F92"/>
    <w:multiLevelType w:val="hybridMultilevel"/>
    <w:tmpl w:val="1D8CD5CE"/>
    <w:lvl w:ilvl="0" w:tplc="DC88FED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580559">
    <w:abstractNumId w:val="4"/>
  </w:num>
  <w:num w:numId="2" w16cid:durableId="1816214400">
    <w:abstractNumId w:val="5"/>
  </w:num>
  <w:num w:numId="3" w16cid:durableId="529345954">
    <w:abstractNumId w:val="3"/>
  </w:num>
  <w:num w:numId="4" w16cid:durableId="477067359">
    <w:abstractNumId w:val="0"/>
  </w:num>
  <w:num w:numId="5" w16cid:durableId="173805111">
    <w:abstractNumId w:val="6"/>
  </w:num>
  <w:num w:numId="6" w16cid:durableId="573272715">
    <w:abstractNumId w:val="1"/>
  </w:num>
  <w:num w:numId="7" w16cid:durableId="1213420386">
    <w:abstractNumId w:val="2"/>
  </w:num>
  <w:num w:numId="8" w16cid:durableId="1389180855">
    <w:abstractNumId w:val="7"/>
  </w:num>
  <w:num w:numId="9" w16cid:durableId="1238325071">
    <w:abstractNumId w:val="7"/>
  </w:num>
  <w:num w:numId="10" w16cid:durableId="64111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09"/>
    <w:rsid w:val="00010036"/>
    <w:rsid w:val="00030860"/>
    <w:rsid w:val="00035A0E"/>
    <w:rsid w:val="0005233C"/>
    <w:rsid w:val="00056768"/>
    <w:rsid w:val="000826D4"/>
    <w:rsid w:val="000B1E1D"/>
    <w:rsid w:val="0011447B"/>
    <w:rsid w:val="001260D0"/>
    <w:rsid w:val="0013338D"/>
    <w:rsid w:val="0014662B"/>
    <w:rsid w:val="0018355A"/>
    <w:rsid w:val="0019611F"/>
    <w:rsid w:val="001A2239"/>
    <w:rsid w:val="002065F0"/>
    <w:rsid w:val="00244B52"/>
    <w:rsid w:val="00282500"/>
    <w:rsid w:val="002F366F"/>
    <w:rsid w:val="002F7361"/>
    <w:rsid w:val="00334677"/>
    <w:rsid w:val="00395209"/>
    <w:rsid w:val="003C7F60"/>
    <w:rsid w:val="004064A6"/>
    <w:rsid w:val="0042065F"/>
    <w:rsid w:val="0046121D"/>
    <w:rsid w:val="00472CAE"/>
    <w:rsid w:val="00533D29"/>
    <w:rsid w:val="005E5692"/>
    <w:rsid w:val="00600FF3"/>
    <w:rsid w:val="0064627A"/>
    <w:rsid w:val="00646B75"/>
    <w:rsid w:val="0068537E"/>
    <w:rsid w:val="006C551B"/>
    <w:rsid w:val="006E3FB4"/>
    <w:rsid w:val="00747483"/>
    <w:rsid w:val="00750B9C"/>
    <w:rsid w:val="00753342"/>
    <w:rsid w:val="007819DA"/>
    <w:rsid w:val="00846E3C"/>
    <w:rsid w:val="008677FA"/>
    <w:rsid w:val="0088296E"/>
    <w:rsid w:val="008F3B01"/>
    <w:rsid w:val="00952E42"/>
    <w:rsid w:val="009576DF"/>
    <w:rsid w:val="00961C55"/>
    <w:rsid w:val="00AB3C5F"/>
    <w:rsid w:val="00B40013"/>
    <w:rsid w:val="00B51FAE"/>
    <w:rsid w:val="00B54CF0"/>
    <w:rsid w:val="00B56956"/>
    <w:rsid w:val="00BE0F0A"/>
    <w:rsid w:val="00BF6E30"/>
    <w:rsid w:val="00C06246"/>
    <w:rsid w:val="00C1396C"/>
    <w:rsid w:val="00CF386F"/>
    <w:rsid w:val="00D3120E"/>
    <w:rsid w:val="00DA43FA"/>
    <w:rsid w:val="00E24216"/>
    <w:rsid w:val="00ED2CB3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0FAE8"/>
  <w15:docId w15:val="{5650F728-D76A-4416-B365-5DEC7063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21D"/>
    <w:pPr>
      <w:keepNext/>
      <w:keepLines/>
      <w:pBdr>
        <w:bottom w:val="single" w:sz="4" w:space="1" w:color="094183"/>
      </w:pBdr>
      <w:tabs>
        <w:tab w:val="left" w:pos="900"/>
      </w:tabs>
      <w:spacing w:before="170" w:after="240" w:line="288" w:lineRule="auto"/>
      <w:ind w:left="902" w:hanging="902"/>
      <w:outlineLvl w:val="0"/>
    </w:pPr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DA43FA"/>
    <w:pPr>
      <w:keepNext/>
      <w:keepLines/>
      <w:tabs>
        <w:tab w:val="left" w:pos="900"/>
      </w:tabs>
      <w:spacing w:before="113" w:after="0" w:line="288" w:lineRule="auto"/>
      <w:ind w:left="900" w:hanging="900"/>
      <w:outlineLvl w:val="1"/>
    </w:pPr>
    <w:rPr>
      <w:rFonts w:ascii="Calibri" w:eastAsiaTheme="majorEastAsia" w:hAnsi="Calibri" w:cstheme="majorBidi"/>
      <w:b/>
      <w:color w:val="094183"/>
      <w:sz w:val="30"/>
      <w:szCs w:val="26"/>
    </w:rPr>
  </w:style>
  <w:style w:type="paragraph" w:styleId="Heading3">
    <w:name w:val="heading 3"/>
    <w:basedOn w:val="Normal"/>
    <w:link w:val="Heading3Char"/>
    <w:uiPriority w:val="9"/>
    <w:qFormat/>
    <w:rsid w:val="00395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3FA"/>
    <w:rPr>
      <w:rFonts w:ascii="Calibri" w:eastAsiaTheme="majorEastAsia" w:hAnsi="Calibri" w:cstheme="majorBidi"/>
      <w:b/>
      <w:color w:val="094183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520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3952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ection-number">
    <w:name w:val="section-number"/>
    <w:basedOn w:val="DefaultParagraphFont"/>
    <w:rsid w:val="00395209"/>
  </w:style>
  <w:style w:type="character" w:styleId="Strong">
    <w:name w:val="Strong"/>
    <w:basedOn w:val="DefaultParagraphFont"/>
    <w:uiPriority w:val="22"/>
    <w:qFormat/>
    <w:rsid w:val="003952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25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51B"/>
  </w:style>
  <w:style w:type="paragraph" w:styleId="Footer">
    <w:name w:val="footer"/>
    <w:basedOn w:val="Normal"/>
    <w:link w:val="FooterChar"/>
    <w:uiPriority w:val="99"/>
    <w:unhideWhenUsed/>
    <w:rsid w:val="006C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51B"/>
  </w:style>
  <w:style w:type="table" w:styleId="TableGrid">
    <w:name w:val="Table Grid"/>
    <w:basedOn w:val="TableNormal"/>
    <w:uiPriority w:val="39"/>
    <w:rsid w:val="00CF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CF386F"/>
    <w:pPr>
      <w:spacing w:after="0" w:line="240" w:lineRule="auto"/>
      <w:jc w:val="right"/>
    </w:pPr>
    <w:rPr>
      <w:caps/>
      <w:sz w:val="52"/>
    </w:rPr>
  </w:style>
  <w:style w:type="paragraph" w:customStyle="1" w:styleId="Style2">
    <w:name w:val="Style2"/>
    <w:basedOn w:val="Style1"/>
    <w:qFormat/>
    <w:rsid w:val="00CF386F"/>
    <w:pPr>
      <w:ind w:right="199"/>
    </w:pPr>
    <w:rPr>
      <w:sz w:val="40"/>
    </w:rPr>
  </w:style>
  <w:style w:type="paragraph" w:customStyle="1" w:styleId="footertext">
    <w:name w:val="footer text"/>
    <w:basedOn w:val="Normal"/>
    <w:link w:val="footertextChar"/>
    <w:rsid w:val="00E2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E24216"/>
    <w:rPr>
      <w:rFonts w:eastAsia="Times New Roman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E24216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E24216"/>
    <w:rPr>
      <w:rFonts w:eastAsia="Times New Roman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E24216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E24216"/>
    <w:rPr>
      <w:rFonts w:eastAsia="Times New Roman" w:cs="Times New Roman"/>
      <w:b/>
      <w:sz w:val="1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6121D"/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paragraph" w:customStyle="1" w:styleId="Bullet">
    <w:name w:val="Bullet"/>
    <w:basedOn w:val="ListParagraph"/>
    <w:qFormat/>
    <w:rsid w:val="00952E42"/>
    <w:pPr>
      <w:numPr>
        <w:numId w:val="8"/>
      </w:numPr>
      <w:tabs>
        <w:tab w:val="left" w:pos="709"/>
      </w:tabs>
      <w:spacing w:after="170" w:line="288" w:lineRule="auto"/>
      <w:ind w:hanging="720"/>
      <w:contextualSpacing w:val="0"/>
    </w:pPr>
  </w:style>
  <w:style w:type="paragraph" w:styleId="ListParagraph">
    <w:name w:val="List Paragraph"/>
    <w:basedOn w:val="Normal"/>
    <w:uiPriority w:val="34"/>
    <w:qFormat/>
    <w:rsid w:val="000826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4677"/>
    <w:rPr>
      <w:color w:val="605E5C"/>
      <w:shd w:val="clear" w:color="auto" w:fill="E1DFDD"/>
    </w:rPr>
  </w:style>
  <w:style w:type="paragraph" w:customStyle="1" w:styleId="Tableheadinglevel1">
    <w:name w:val="Table heading level 1"/>
    <w:basedOn w:val="Normal"/>
    <w:qFormat/>
    <w:rsid w:val="00056768"/>
    <w:pPr>
      <w:spacing w:after="0" w:line="288" w:lineRule="auto"/>
      <w:jc w:val="center"/>
    </w:pPr>
    <w:rPr>
      <w:b/>
      <w:caps/>
      <w:sz w:val="18"/>
      <w:szCs w:val="18"/>
    </w:rPr>
  </w:style>
  <w:style w:type="paragraph" w:customStyle="1" w:styleId="Tabletext">
    <w:name w:val="Table text"/>
    <w:basedOn w:val="Normal"/>
    <w:qFormat/>
    <w:rsid w:val="00646B75"/>
    <w:pPr>
      <w:spacing w:after="0" w:line="288" w:lineRule="auto"/>
    </w:pPr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fety.unimelb.edu.au/__data/assets/pdf_file/0007/4708600/Health-and-Safety-Service-provider-contractor-requirement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fety.unimelb.edu.au/__data/assets/pdf_file/0004/4694854/health-and-safety-consultation-representation-and-committee-requirements.pdf" TargetMode="External"/><Relationship Id="rId17" Type="http://schemas.openxmlformats.org/officeDocument/2006/relationships/hyperlink" Target="https://safety.unimelb.edu.au/__data/assets/pdf_file/0009/4682016/safety-bulletin-prepurchase-assessme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fety.unimelb.edu.au/__data/assets/pdf_file/0004/4684414/Australian-standards-commonly-used-in-purchasing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y.unimelb.edu.au/__data/assets/pdf_file/0004/4684414/Australian-standards-commonly-used-in-purchasin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fety.unimelb.edu.au/__data/assets/word_doc/0006/4684416/health-and-safety-prepurchase-checklist.docx" TargetMode="External"/><Relationship Id="rId10" Type="http://schemas.openxmlformats.org/officeDocument/2006/relationships/hyperlink" Target="https://safety.unimelb.edu.au/__data/assets/word_doc/0006/4684416/health-and-safety-prepurchase-checklist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fety.unimelb.edu.au/__data/assets/pdf_file/0007/4708600/Health-and-Safety-Service-provider-contractor-requirements.pdf" TargetMode="External"/><Relationship Id="rId14" Type="http://schemas.openxmlformats.org/officeDocument/2006/relationships/hyperlink" Target="https://safety.unimelb.edu.au/__data/assets/pdf_file/0004/4694854/health-and-safety-consultation-representation-and-committee-requir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2FB063B-E5D5-4FCA-84DE-2C82AB4AFA6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 Burg</dc:creator>
  <cp:lastModifiedBy>Kira Goodman</cp:lastModifiedBy>
  <cp:revision>2</cp:revision>
  <dcterms:created xsi:type="dcterms:W3CDTF">2023-09-10T23:40:00Z</dcterms:created>
  <dcterms:modified xsi:type="dcterms:W3CDTF">2023-09-10T23:40:00Z</dcterms:modified>
</cp:coreProperties>
</file>