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9" w:type="pct"/>
        <w:shd w:val="clear" w:color="auto" w:fill="09418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2"/>
        <w:gridCol w:w="14056"/>
      </w:tblGrid>
      <w:tr w:rsidR="00ED0A41" w:rsidRPr="005D6AC4" w14:paraId="046D74BB" w14:textId="77777777" w:rsidTr="00714798">
        <w:trPr>
          <w:trHeight w:hRule="exact" w:val="1655"/>
        </w:trPr>
        <w:tc>
          <w:tcPr>
            <w:tcW w:w="2022" w:type="dxa"/>
            <w:shd w:val="clear" w:color="auto" w:fill="094183"/>
            <w:vAlign w:val="center"/>
          </w:tcPr>
          <w:p w14:paraId="0B97DD04" w14:textId="77777777" w:rsidR="00ED0A41" w:rsidRPr="00ED0A41" w:rsidRDefault="00714798" w:rsidP="00AB1515">
            <w:pPr>
              <w:pStyle w:val="logoalign"/>
              <w:rPr>
                <w:rFonts w:ascii="Calibri" w:hAnsi="Calibri"/>
                <w:color w:val="002060"/>
              </w:rPr>
            </w:pPr>
            <w:r>
              <w:rPr>
                <w:rFonts w:asciiTheme="minorHAnsi" w:hAnsiTheme="minorHAnsi"/>
                <w:noProof/>
                <w:color w:val="002060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338956C8" wp14:editId="36D30209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13335</wp:posOffset>
                  </wp:positionV>
                  <wp:extent cx="990600" cy="990600"/>
                  <wp:effectExtent l="0" t="0" r="0" b="0"/>
                  <wp:wrapNone/>
                  <wp:docPr id="2" name="Picture 2" descr="C:\Users\susanb\AppData\Local\Microsoft\Windows\Temporary Internet Files\Content.Word\PRIMARY_A_Vertical_Housed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sanb\AppData\Local\Microsoft\Windows\Temporary Internet Files\Content.Word\PRIMARY_A_Vertical_Housed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055" w:type="dxa"/>
            <w:shd w:val="clear" w:color="auto" w:fill="094183"/>
          </w:tcPr>
          <w:p w14:paraId="5C069ACC" w14:textId="77777777" w:rsidR="00ED0A41" w:rsidRPr="00ED0A41" w:rsidRDefault="00ED0A41" w:rsidP="00ED0A41">
            <w:pPr>
              <w:pStyle w:val="Documentheading"/>
              <w:rPr>
                <w:rFonts w:ascii="Calibri" w:hAnsi="Calibri"/>
                <w:sz w:val="52"/>
                <w:szCs w:val="52"/>
              </w:rPr>
            </w:pPr>
            <w:r w:rsidRPr="00ED0A41">
              <w:rPr>
                <w:rFonts w:ascii="Calibri" w:hAnsi="Calibri"/>
                <w:sz w:val="52"/>
                <w:szCs w:val="52"/>
              </w:rPr>
              <w:t>health &amp; safety</w:t>
            </w:r>
            <w:r w:rsidRPr="00ED0A41">
              <w:rPr>
                <w:rFonts w:ascii="Calibri" w:hAnsi="Calibri"/>
                <w:sz w:val="52"/>
                <w:szCs w:val="52"/>
              </w:rPr>
              <w:br/>
            </w:r>
            <w:r>
              <w:rPr>
                <w:rFonts w:ascii="Calibri" w:hAnsi="Calibri"/>
              </w:rPr>
              <w:t>risk register</w:t>
            </w:r>
            <w:r>
              <w:rPr>
                <w:rFonts w:ascii="Calibri" w:hAnsi="Calibri"/>
              </w:rPr>
              <w:br/>
              <w:t>(example of a risk register for office-based activities)</w:t>
            </w:r>
          </w:p>
        </w:tc>
      </w:tr>
    </w:tbl>
    <w:p w14:paraId="7623DDA2" w14:textId="77777777" w:rsidR="00714798" w:rsidRPr="00714798" w:rsidRDefault="00714798">
      <w:pPr>
        <w:rPr>
          <w:rFonts w:asciiTheme="minorHAnsi" w:hAnsiTheme="minorHAnsi"/>
          <w:sz w:val="8"/>
          <w:szCs w:val="8"/>
        </w:rPr>
      </w:pPr>
    </w:p>
    <w:tbl>
      <w:tblPr>
        <w:tblW w:w="4990" w:type="pct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6017"/>
      </w:tblGrid>
      <w:tr w:rsidR="00966BAD" w:rsidRPr="0001210C" w14:paraId="1B9E2711" w14:textId="77777777" w:rsidTr="00714798">
        <w:trPr>
          <w:trHeight w:val="539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58FA766D" w14:textId="548A9879" w:rsidR="00966BAD" w:rsidRPr="00AB1515" w:rsidRDefault="00714798" w:rsidP="00DE7994">
            <w:pPr>
              <w:pStyle w:val="tabletext"/>
              <w:rPr>
                <w:rFonts w:ascii="Calibri" w:hAnsi="Calibri"/>
                <w:sz w:val="22"/>
                <w:szCs w:val="22"/>
              </w:rPr>
            </w:pPr>
            <w:r w:rsidRPr="00571883">
              <w:rPr>
                <w:rFonts w:asciiTheme="minorHAnsi" w:hAnsiTheme="minorHAnsi"/>
                <w:sz w:val="20"/>
                <w:szCs w:val="20"/>
              </w:rPr>
              <w:t xml:space="preserve">For use in conjunction with the </w:t>
            </w:r>
            <w:hyperlink r:id="rId9" w:history="1">
              <w:r w:rsidRPr="00224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Health &amp; Safety: Risk management requirements</w:t>
              </w:r>
            </w:hyperlink>
            <w:r w:rsidRPr="00571883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Pr="00571883">
              <w:rPr>
                <w:rFonts w:asciiTheme="minorHAnsi" w:hAnsiTheme="minorHAnsi"/>
                <w:sz w:val="20"/>
                <w:szCs w:val="20"/>
              </w:rPr>
              <w:t xml:space="preserve">  For more information, refer to</w:t>
            </w:r>
            <w:r w:rsidR="002243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0" w:history="1">
              <w:r w:rsidR="00224330" w:rsidRPr="0022433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https://safety.unimelb.edu.au/safety-topics/management-systems/implement</w:t>
              </w:r>
            </w:hyperlink>
            <w:r w:rsidRPr="0057188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D4D6722" w14:textId="77777777" w:rsidR="00310646" w:rsidRPr="00714798" w:rsidRDefault="00310646" w:rsidP="00966BAD">
      <w:pPr>
        <w:rPr>
          <w:rFonts w:asciiTheme="minorHAnsi" w:hAnsiTheme="minorHAnsi"/>
          <w:sz w:val="8"/>
          <w:szCs w:val="8"/>
        </w:rPr>
      </w:pPr>
    </w:p>
    <w:tbl>
      <w:tblPr>
        <w:tblW w:w="16013" w:type="dxa"/>
        <w:jc w:val="center"/>
        <w:tblBorders>
          <w:top w:val="single" w:sz="4" w:space="0" w:color="094183"/>
          <w:left w:val="single" w:sz="4" w:space="0" w:color="094183"/>
          <w:bottom w:val="single" w:sz="4" w:space="0" w:color="094183"/>
          <w:right w:val="single" w:sz="4" w:space="0" w:color="094183"/>
          <w:insideH w:val="single" w:sz="4" w:space="0" w:color="094183"/>
          <w:insideV w:val="single" w:sz="4" w:space="0" w:color="094183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567"/>
        <w:gridCol w:w="567"/>
        <w:gridCol w:w="703"/>
        <w:gridCol w:w="2551"/>
        <w:gridCol w:w="2678"/>
        <w:gridCol w:w="2552"/>
        <w:gridCol w:w="866"/>
      </w:tblGrid>
      <w:tr w:rsidR="00714798" w:rsidRPr="00511ACE" w14:paraId="7CDDD9CD" w14:textId="77777777" w:rsidTr="00927C17">
        <w:trPr>
          <w:tblHeader/>
          <w:jc w:val="center"/>
        </w:trPr>
        <w:tc>
          <w:tcPr>
            <w:tcW w:w="2552" w:type="dxa"/>
            <w:vMerge w:val="restart"/>
            <w:shd w:val="clear" w:color="auto" w:fill="BDD6EE" w:themeFill="accent1" w:themeFillTint="66"/>
          </w:tcPr>
          <w:p w14:paraId="3D7A406B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Activity</w:t>
            </w:r>
          </w:p>
        </w:tc>
        <w:tc>
          <w:tcPr>
            <w:tcW w:w="2977" w:type="dxa"/>
            <w:vMerge w:val="restart"/>
            <w:shd w:val="clear" w:color="auto" w:fill="BDD6EE" w:themeFill="accent1" w:themeFillTint="66"/>
          </w:tcPr>
          <w:p w14:paraId="16062423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Associated Hazards/Risks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</w:tcPr>
          <w:p w14:paraId="04A50F56" w14:textId="77777777" w:rsidR="00714798" w:rsidRPr="00511ACE" w:rsidRDefault="00F16A38" w:rsidP="00D64ED0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Inherent</w:t>
            </w:r>
            <w:r w:rsidR="00714798" w:rsidRPr="00511ACE">
              <w:rPr>
                <w:rFonts w:asciiTheme="minorHAnsi" w:hAnsiTheme="minorHAnsi"/>
                <w:szCs w:val="16"/>
              </w:rPr>
              <w:t xml:space="preserve"> Risk </w:t>
            </w:r>
            <w:r w:rsidR="00D64ED0" w:rsidRPr="00511ACE">
              <w:rPr>
                <w:rFonts w:asciiTheme="minorHAnsi" w:hAnsiTheme="minorHAnsi"/>
                <w:szCs w:val="16"/>
              </w:rPr>
              <w:t>Analysis</w:t>
            </w:r>
          </w:p>
        </w:tc>
        <w:tc>
          <w:tcPr>
            <w:tcW w:w="703" w:type="dxa"/>
            <w:vMerge w:val="restart"/>
            <w:shd w:val="clear" w:color="auto" w:fill="BDD6EE" w:themeFill="accent1" w:themeFillTint="66"/>
          </w:tcPr>
          <w:p w14:paraId="4B4A07B2" w14:textId="77777777" w:rsidR="00714798" w:rsidRPr="00511ACE" w:rsidRDefault="00F16A38" w:rsidP="00927C17">
            <w:pPr>
              <w:pStyle w:val="tableheadinglevel2"/>
              <w:spacing w:before="20" w:after="20" w:line="240" w:lineRule="auto"/>
              <w:ind w:left="-113" w:right="-103"/>
              <w:jc w:val="center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Inher</w:t>
            </w:r>
            <w:r w:rsidR="00714798" w:rsidRPr="00511ACE">
              <w:rPr>
                <w:rFonts w:asciiTheme="minorHAnsi" w:hAnsiTheme="minorHAnsi"/>
                <w:szCs w:val="16"/>
              </w:rPr>
              <w:t>ent Risk Rating</w:t>
            </w:r>
          </w:p>
        </w:tc>
        <w:tc>
          <w:tcPr>
            <w:tcW w:w="2551" w:type="dxa"/>
            <w:vMerge w:val="restart"/>
            <w:shd w:val="clear" w:color="auto" w:fill="BDD6EE" w:themeFill="accent1" w:themeFillTint="66"/>
          </w:tcPr>
          <w:p w14:paraId="72160D01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Legislation/Standards/ Guidance</w:t>
            </w:r>
          </w:p>
        </w:tc>
        <w:tc>
          <w:tcPr>
            <w:tcW w:w="2678" w:type="dxa"/>
            <w:vMerge w:val="restart"/>
            <w:shd w:val="clear" w:color="auto" w:fill="BDD6EE" w:themeFill="accent1" w:themeFillTint="66"/>
          </w:tcPr>
          <w:p w14:paraId="52FDDB4B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University Policies and Requirements</w:t>
            </w:r>
          </w:p>
        </w:tc>
        <w:tc>
          <w:tcPr>
            <w:tcW w:w="2552" w:type="dxa"/>
            <w:vMerge w:val="restart"/>
            <w:shd w:val="clear" w:color="auto" w:fill="BDD6EE" w:themeFill="accent1" w:themeFillTint="66"/>
          </w:tcPr>
          <w:p w14:paraId="6FD2B6DE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Controls</w:t>
            </w:r>
          </w:p>
        </w:tc>
        <w:tc>
          <w:tcPr>
            <w:tcW w:w="866" w:type="dxa"/>
            <w:vMerge w:val="restart"/>
            <w:shd w:val="clear" w:color="auto" w:fill="BDD6EE" w:themeFill="accent1" w:themeFillTint="66"/>
            <w:tcMar>
              <w:left w:w="57" w:type="dxa"/>
              <w:right w:w="57" w:type="dxa"/>
            </w:tcMar>
          </w:tcPr>
          <w:p w14:paraId="01BE4EB3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Residual Risk Rating</w:t>
            </w:r>
          </w:p>
        </w:tc>
      </w:tr>
      <w:tr w:rsidR="00714798" w:rsidRPr="00511ACE" w14:paraId="6B1F1E67" w14:textId="77777777" w:rsidTr="00511ACE">
        <w:trPr>
          <w:tblHeader/>
          <w:jc w:val="center"/>
        </w:trPr>
        <w:tc>
          <w:tcPr>
            <w:tcW w:w="2552" w:type="dxa"/>
            <w:vMerge/>
            <w:shd w:val="clear" w:color="auto" w:fill="BDD6EE" w:themeFill="accent1" w:themeFillTint="66"/>
          </w:tcPr>
          <w:p w14:paraId="65F99731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977" w:type="dxa"/>
            <w:vMerge/>
            <w:shd w:val="clear" w:color="auto" w:fill="F3F3F3"/>
          </w:tcPr>
          <w:p w14:paraId="332A1E2D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1D462FC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L</w:t>
            </w:r>
          </w:p>
        </w:tc>
        <w:tc>
          <w:tcPr>
            <w:tcW w:w="567" w:type="dxa"/>
            <w:shd w:val="clear" w:color="auto" w:fill="BDD6EE" w:themeFill="accent1" w:themeFillTint="66"/>
            <w:vAlign w:val="center"/>
          </w:tcPr>
          <w:p w14:paraId="7BE6580D" w14:textId="77777777" w:rsidR="00714798" w:rsidRPr="00511ACE" w:rsidRDefault="00714798" w:rsidP="00927C17">
            <w:pPr>
              <w:pStyle w:val="tableheadinglevel2"/>
              <w:spacing w:before="20" w:after="20" w:line="240" w:lineRule="auto"/>
              <w:jc w:val="center"/>
              <w:rPr>
                <w:rFonts w:asciiTheme="minorHAnsi" w:hAnsiTheme="minorHAnsi"/>
                <w:szCs w:val="16"/>
              </w:rPr>
            </w:pPr>
            <w:r w:rsidRPr="00511ACE">
              <w:rPr>
                <w:rFonts w:asciiTheme="minorHAnsi" w:hAnsiTheme="minorHAnsi"/>
                <w:szCs w:val="16"/>
              </w:rPr>
              <w:t>C</w:t>
            </w:r>
          </w:p>
        </w:tc>
        <w:tc>
          <w:tcPr>
            <w:tcW w:w="703" w:type="dxa"/>
            <w:vMerge/>
            <w:shd w:val="clear" w:color="auto" w:fill="F3F3F3"/>
          </w:tcPr>
          <w:p w14:paraId="4ECCEA53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1" w:type="dxa"/>
            <w:vMerge/>
            <w:shd w:val="clear" w:color="auto" w:fill="F3F3F3"/>
          </w:tcPr>
          <w:p w14:paraId="264658E2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678" w:type="dxa"/>
            <w:vMerge/>
            <w:shd w:val="clear" w:color="auto" w:fill="F3F3F3"/>
          </w:tcPr>
          <w:p w14:paraId="73CC8AB3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2552" w:type="dxa"/>
            <w:vMerge/>
            <w:shd w:val="clear" w:color="auto" w:fill="F3F3F3"/>
          </w:tcPr>
          <w:p w14:paraId="08F1E280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  <w:tc>
          <w:tcPr>
            <w:tcW w:w="866" w:type="dxa"/>
            <w:vMerge/>
            <w:shd w:val="clear" w:color="auto" w:fill="F3F3F3"/>
          </w:tcPr>
          <w:p w14:paraId="428B0A83" w14:textId="77777777" w:rsidR="00714798" w:rsidRPr="00511ACE" w:rsidRDefault="00714798" w:rsidP="00927C17">
            <w:pPr>
              <w:pStyle w:val="tabletext"/>
              <w:spacing w:before="20" w:after="20" w:line="240" w:lineRule="auto"/>
              <w:rPr>
                <w:rFonts w:asciiTheme="minorHAnsi" w:hAnsiTheme="minorHAnsi"/>
                <w:szCs w:val="16"/>
              </w:rPr>
            </w:pPr>
          </w:p>
        </w:tc>
      </w:tr>
      <w:tr w:rsidR="00714798" w:rsidRPr="00511ACE" w14:paraId="6E47D119" w14:textId="77777777" w:rsidTr="00511AC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4F4" w14:textId="77777777" w:rsidR="00714798" w:rsidRPr="00511ACE" w:rsidRDefault="00714798" w:rsidP="00714798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Word processing/data entry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3EE6" w14:textId="77777777" w:rsidR="00714798" w:rsidRPr="00511ACE" w:rsidRDefault="00714798" w:rsidP="00714798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Musculoskeletal disorders/injuries, including overuse injuries, due to:</w:t>
            </w:r>
          </w:p>
          <w:p w14:paraId="5153B141" w14:textId="2C360E13" w:rsidR="00714798" w:rsidRPr="00511ACE" w:rsidRDefault="00714798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inappropriate </w:t>
            </w:r>
            <w:r w:rsidR="00224330" w:rsidRPr="00511ACE">
              <w:rPr>
                <w:rFonts w:ascii="Calibri" w:hAnsi="Calibri"/>
                <w:szCs w:val="16"/>
              </w:rPr>
              <w:t>workstation</w:t>
            </w:r>
            <w:r w:rsidRPr="00511ACE">
              <w:rPr>
                <w:rFonts w:ascii="Calibri" w:hAnsi="Calibri"/>
                <w:szCs w:val="16"/>
              </w:rPr>
              <w:t xml:space="preserve"> layout and design</w:t>
            </w:r>
          </w:p>
          <w:p w14:paraId="12C3F131" w14:textId="501F2B99" w:rsidR="00714798" w:rsidRPr="00511ACE" w:rsidRDefault="00714798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unsuitable </w:t>
            </w:r>
            <w:r w:rsidR="00224330" w:rsidRPr="00511ACE">
              <w:rPr>
                <w:rFonts w:ascii="Calibri" w:hAnsi="Calibri"/>
                <w:szCs w:val="16"/>
              </w:rPr>
              <w:t>computer-based</w:t>
            </w:r>
            <w:r w:rsidRPr="00511ACE">
              <w:rPr>
                <w:rFonts w:ascii="Calibri" w:hAnsi="Calibri"/>
                <w:szCs w:val="16"/>
              </w:rPr>
              <w:t xml:space="preserve"> equipment and/or office furniture</w:t>
            </w:r>
          </w:p>
          <w:p w14:paraId="0208B1D5" w14:textId="77777777" w:rsidR="00714798" w:rsidRPr="00511ACE" w:rsidRDefault="00714798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long periods of data entry without breaks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E15E" w14:textId="77777777" w:rsidR="00714798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9457" w14:textId="77777777" w:rsidR="00714798" w:rsidRPr="00511ACE" w:rsidRDefault="00511ACE" w:rsidP="00511ACE">
            <w:pPr>
              <w:pStyle w:val="tabletext"/>
              <w:ind w:left="-255" w:right="-249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B9922" w14:textId="77777777" w:rsidR="00714798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8AC9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450F2E44" w14:textId="77777777" w:rsidR="00714798" w:rsidRPr="00511ACE" w:rsidRDefault="00162B5F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 xml:space="preserve">Occupational Health and Safety Regulations 2017 </w:t>
            </w:r>
            <w:r w:rsidRPr="00511ACE">
              <w:rPr>
                <w:rFonts w:ascii="Calibri" w:hAnsi="Calibri"/>
                <w:szCs w:val="16"/>
              </w:rPr>
              <w:t xml:space="preserve">(Vic) </w:t>
            </w:r>
            <w:r w:rsidR="00714798" w:rsidRPr="00511ACE">
              <w:rPr>
                <w:rFonts w:ascii="Calibri" w:hAnsi="Calibri"/>
                <w:szCs w:val="16"/>
              </w:rPr>
              <w:t xml:space="preserve">Part 3.1 </w:t>
            </w:r>
            <w:r w:rsidR="00511ACE">
              <w:rPr>
                <w:rFonts w:ascii="Calibri" w:hAnsi="Calibri"/>
                <w:szCs w:val="16"/>
              </w:rPr>
              <w:t xml:space="preserve">Hazardous </w:t>
            </w:r>
            <w:r w:rsidR="00714798" w:rsidRPr="00511ACE">
              <w:rPr>
                <w:rFonts w:ascii="Calibri" w:hAnsi="Calibri"/>
                <w:szCs w:val="16"/>
              </w:rPr>
              <w:t xml:space="preserve">Manual Handling </w:t>
            </w:r>
          </w:p>
          <w:p w14:paraId="726EBA18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proofErr w:type="spellStart"/>
            <w:r w:rsidRPr="00511ACE">
              <w:rPr>
                <w:rFonts w:ascii="Calibri" w:hAnsi="Calibri"/>
                <w:szCs w:val="16"/>
              </w:rPr>
              <w:t>OfficeWise</w:t>
            </w:r>
            <w:proofErr w:type="spellEnd"/>
            <w:r w:rsidRPr="00511ACE">
              <w:rPr>
                <w:rFonts w:ascii="Calibri" w:hAnsi="Calibri"/>
                <w:szCs w:val="16"/>
              </w:rPr>
              <w:t xml:space="preserve"> (</w:t>
            </w:r>
            <w:r w:rsidR="005E6BEC">
              <w:rPr>
                <w:rFonts w:ascii="Calibri" w:hAnsi="Calibri"/>
                <w:szCs w:val="16"/>
              </w:rPr>
              <w:t>Vic</w:t>
            </w:r>
            <w:r w:rsidRPr="00511ACE">
              <w:rPr>
                <w:rFonts w:ascii="Calibri" w:hAnsi="Calibri"/>
                <w:szCs w:val="16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6314B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 xml:space="preserve">Health </w:t>
            </w:r>
            <w:r w:rsidR="00162B5F" w:rsidRPr="00511ACE">
              <w:rPr>
                <w:rFonts w:ascii="Calibri" w:hAnsi="Calibri"/>
                <w:i/>
                <w:szCs w:val="16"/>
              </w:rPr>
              <w:t>&amp;</w:t>
            </w:r>
            <w:r w:rsidRPr="00511ACE">
              <w:rPr>
                <w:rFonts w:ascii="Calibri" w:hAnsi="Calibri"/>
                <w:i/>
                <w:szCs w:val="16"/>
              </w:rPr>
              <w:t xml:space="preserve"> </w:t>
            </w:r>
            <w:r w:rsidR="00162B5F" w:rsidRPr="00511ACE">
              <w:rPr>
                <w:rFonts w:ascii="Calibri" w:hAnsi="Calibri"/>
                <w:i/>
                <w:szCs w:val="16"/>
              </w:rPr>
              <w:t>S</w:t>
            </w:r>
            <w:r w:rsidRPr="00511ACE">
              <w:rPr>
                <w:rFonts w:ascii="Calibri" w:hAnsi="Calibri"/>
                <w:i/>
                <w:szCs w:val="16"/>
              </w:rPr>
              <w:t>afety</w:t>
            </w:r>
            <w:r w:rsidR="00162B5F" w:rsidRPr="00511ACE">
              <w:rPr>
                <w:rFonts w:ascii="Calibri" w:hAnsi="Calibri"/>
                <w:i/>
                <w:szCs w:val="16"/>
              </w:rPr>
              <w:t>: R</w:t>
            </w:r>
            <w:r w:rsidRPr="00511ACE">
              <w:rPr>
                <w:rFonts w:ascii="Calibri" w:hAnsi="Calibri"/>
                <w:i/>
                <w:szCs w:val="16"/>
              </w:rPr>
              <w:t>isk management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C66A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Scheduled workplace inspections</w:t>
            </w:r>
          </w:p>
          <w:p w14:paraId="33B1A4E1" w14:textId="4853BE18" w:rsidR="00714798" w:rsidRPr="00511ACE" w:rsidRDefault="00224330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Workstation</w:t>
            </w:r>
            <w:r w:rsidR="00714798" w:rsidRPr="00511ACE">
              <w:rPr>
                <w:rFonts w:ascii="Calibri" w:hAnsi="Calibri"/>
                <w:szCs w:val="16"/>
              </w:rPr>
              <w:t xml:space="preserve"> </w:t>
            </w:r>
            <w:r w:rsidR="005E6BEC">
              <w:rPr>
                <w:rFonts w:ascii="Calibri" w:hAnsi="Calibri"/>
                <w:szCs w:val="16"/>
              </w:rPr>
              <w:t>self</w:t>
            </w:r>
            <w:r w:rsidR="005E6BEC" w:rsidRPr="00511ACE">
              <w:rPr>
                <w:rFonts w:ascii="Calibri" w:hAnsi="Calibri"/>
                <w:szCs w:val="16"/>
              </w:rPr>
              <w:t>-assessments</w:t>
            </w:r>
          </w:p>
          <w:p w14:paraId="410F1372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Purchase and use of suitable equipment and office furniture</w:t>
            </w:r>
          </w:p>
          <w:p w14:paraId="7A69CFBB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Task variety and regular short defined breaks during data entry</w:t>
            </w:r>
          </w:p>
          <w:p w14:paraId="48533889" w14:textId="77777777" w:rsidR="00714798" w:rsidRPr="00511ACE" w:rsidRDefault="00714798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Additional support and resources during increased workloads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C67F" w14:textId="77777777" w:rsidR="00714798" w:rsidRPr="00F719B6" w:rsidRDefault="00714798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</w:t>
            </w:r>
            <w:r w:rsidR="00511ACE" w:rsidRPr="00F719B6">
              <w:rPr>
                <w:rFonts w:ascii="Calibri" w:hAnsi="Calibri"/>
                <w:szCs w:val="16"/>
              </w:rPr>
              <w:t>ow</w:t>
            </w:r>
          </w:p>
        </w:tc>
      </w:tr>
      <w:tr w:rsidR="00511ACE" w:rsidRPr="00511ACE" w14:paraId="63BDCC22" w14:textId="77777777" w:rsidTr="00927C1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998D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of mobile &amp; fixed shelving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9E98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Manual handling injuries from inappropriately stored items such as:</w:t>
            </w:r>
          </w:p>
          <w:p w14:paraId="6C992E65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frequently used items difficult to access</w:t>
            </w:r>
          </w:p>
          <w:p w14:paraId="4B95B839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heavy items stored at head height and above</w:t>
            </w:r>
          </w:p>
          <w:p w14:paraId="49C95353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Slipping, falling from a step ladder (or inappropriate use of standing on a chair) that may be used to access items</w:t>
            </w:r>
          </w:p>
          <w:p w14:paraId="4B8E7137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Accumulation of items/documentation that takes up storage space and begins to impinge on non-storage areas (</w:t>
            </w:r>
            <w:proofErr w:type="spellStart"/>
            <w:proofErr w:type="gramStart"/>
            <w:r w:rsidRPr="00511ACE">
              <w:rPr>
                <w:rFonts w:ascii="Calibri" w:hAnsi="Calibri"/>
                <w:szCs w:val="16"/>
              </w:rPr>
              <w:t>eg</w:t>
            </w:r>
            <w:proofErr w:type="spellEnd"/>
            <w:proofErr w:type="gramEnd"/>
            <w:r w:rsidRPr="00511ACE">
              <w:rPr>
                <w:rFonts w:ascii="Calibri" w:hAnsi="Calibri"/>
                <w:szCs w:val="16"/>
              </w:rPr>
              <w:t xml:space="preserve"> leaving items in corridors/walkways.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A318F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C07F9" w14:textId="77777777" w:rsidR="00511ACE" w:rsidRPr="00511ACE" w:rsidRDefault="00511ACE" w:rsidP="00511ACE">
            <w:pPr>
              <w:pStyle w:val="tabletext"/>
              <w:ind w:left="-255" w:right="-249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D12C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62D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0F0BE0E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 xml:space="preserve">Occupational Health and Safety Regulations 2017 </w:t>
            </w:r>
            <w:r w:rsidRPr="00511ACE">
              <w:rPr>
                <w:rFonts w:ascii="Calibri" w:hAnsi="Calibri"/>
                <w:szCs w:val="16"/>
              </w:rPr>
              <w:t xml:space="preserve">(Vic) Part 3.1 </w:t>
            </w:r>
            <w:r>
              <w:rPr>
                <w:rFonts w:ascii="Calibri" w:hAnsi="Calibri"/>
                <w:szCs w:val="16"/>
              </w:rPr>
              <w:t xml:space="preserve">Hazardous </w:t>
            </w:r>
            <w:r w:rsidRPr="00511ACE">
              <w:rPr>
                <w:rFonts w:ascii="Calibri" w:hAnsi="Calibri"/>
                <w:szCs w:val="16"/>
              </w:rPr>
              <w:t xml:space="preserve">Manual Handling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EB18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  <w:p w14:paraId="0FACDB04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Hazardous manual handling requirements</w:t>
            </w:r>
          </w:p>
          <w:p w14:paraId="755AD58F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Ergonomics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B62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Risk assessment of available storage space to </w:t>
            </w:r>
            <w:proofErr w:type="spellStart"/>
            <w:r w:rsidRPr="00511ACE">
              <w:rPr>
                <w:rFonts w:ascii="Calibri" w:hAnsi="Calibri"/>
                <w:szCs w:val="16"/>
              </w:rPr>
              <w:t>prioritise</w:t>
            </w:r>
            <w:proofErr w:type="spellEnd"/>
            <w:r w:rsidRPr="00511ACE">
              <w:rPr>
                <w:rFonts w:ascii="Calibri" w:hAnsi="Calibri"/>
                <w:szCs w:val="16"/>
              </w:rPr>
              <w:t xml:space="preserve"> office items and place most used items at most accessible level (</w:t>
            </w:r>
            <w:proofErr w:type="spellStart"/>
            <w:proofErr w:type="gramStart"/>
            <w:r w:rsidRPr="00511ACE">
              <w:rPr>
                <w:rFonts w:ascii="Calibri" w:hAnsi="Calibri"/>
                <w:szCs w:val="16"/>
              </w:rPr>
              <w:t>eg</w:t>
            </w:r>
            <w:proofErr w:type="spellEnd"/>
            <w:proofErr w:type="gramEnd"/>
            <w:r w:rsidRPr="00511ACE">
              <w:rPr>
                <w:rFonts w:ascii="Calibri" w:hAnsi="Calibri"/>
                <w:szCs w:val="16"/>
              </w:rPr>
              <w:t xml:space="preserve"> between shoulder and waste</w:t>
            </w:r>
          </w:p>
          <w:p w14:paraId="2DBAC81C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Discard and/or remove any unnecessary equipment and storage items</w:t>
            </w:r>
          </w:p>
          <w:p w14:paraId="719BB5E2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Archive documentation</w:t>
            </w:r>
          </w:p>
          <w:p w14:paraId="7D9D8586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Purchase and use a platform ladder purpose built for office environment</w:t>
            </w:r>
          </w:p>
          <w:p w14:paraId="1F18719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Training and instruction for worker on correct methods for accessing stored items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CCAD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Low</w:t>
            </w:r>
          </w:p>
        </w:tc>
      </w:tr>
      <w:tr w:rsidR="00511ACE" w:rsidRPr="00511ACE" w14:paraId="7744A3E8" w14:textId="77777777" w:rsidTr="00927C1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128A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and storage in compactus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7F9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Manual handling injuries from inappropriately stored items such as:</w:t>
            </w:r>
          </w:p>
          <w:p w14:paraId="5851DC02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lastRenderedPageBreak/>
              <w:t>frequently used items difficult to access</w:t>
            </w:r>
          </w:p>
          <w:p w14:paraId="57720D52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heavy items stored at head height and above</w:t>
            </w:r>
          </w:p>
          <w:p w14:paraId="4D75DF66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Being trapped/crushed in compactus</w:t>
            </w:r>
          </w:p>
          <w:p w14:paraId="3E083960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Over storage of compactus </w:t>
            </w:r>
            <w:proofErr w:type="gramStart"/>
            <w:r w:rsidRPr="00511ACE">
              <w:rPr>
                <w:rFonts w:ascii="Calibri" w:hAnsi="Calibri"/>
                <w:szCs w:val="16"/>
              </w:rPr>
              <w:t>making</w:t>
            </w:r>
            <w:proofErr w:type="gramEnd"/>
            <w:r w:rsidRPr="00511ACE">
              <w:rPr>
                <w:rFonts w:ascii="Calibri" w:hAnsi="Calibri"/>
                <w:szCs w:val="16"/>
              </w:rPr>
              <w:t xml:space="preserve"> it difficult to move</w:t>
            </w:r>
          </w:p>
          <w:p w14:paraId="5C8DF23D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Compactus doesn’t glide easily/appropriately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EA3F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lastRenderedPageBreak/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55CB" w14:textId="77777777" w:rsidR="00511ACE" w:rsidRPr="00511ACE" w:rsidRDefault="00511ACE" w:rsidP="00511ACE">
            <w:pPr>
              <w:pStyle w:val="tabletext"/>
              <w:ind w:left="-255" w:right="-249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51D97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9AF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0674F3EC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lastRenderedPageBreak/>
              <w:t>Occupational Health and Safety Regulations 2017</w:t>
            </w:r>
            <w:r w:rsidRPr="00511ACE">
              <w:rPr>
                <w:rFonts w:ascii="Calibri" w:hAnsi="Calibri"/>
                <w:szCs w:val="16"/>
              </w:rPr>
              <w:t xml:space="preserve"> (Vic) Part 3.1 </w:t>
            </w:r>
            <w:r>
              <w:rPr>
                <w:rFonts w:ascii="Calibri" w:hAnsi="Calibri"/>
                <w:szCs w:val="16"/>
              </w:rPr>
              <w:t xml:space="preserve">Hazardous </w:t>
            </w:r>
            <w:r w:rsidRPr="00511ACE">
              <w:rPr>
                <w:rFonts w:ascii="Calibri" w:hAnsi="Calibri"/>
                <w:szCs w:val="16"/>
              </w:rPr>
              <w:t xml:space="preserve">Manual Handling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53F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lastRenderedPageBreak/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  <w:p w14:paraId="53A708A9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lastRenderedPageBreak/>
              <w:t>Health &amp; Safety: Hazardous manual handling requirements</w:t>
            </w:r>
          </w:p>
          <w:p w14:paraId="4A041981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Ergonomics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3491A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lastRenderedPageBreak/>
              <w:t>Risk assessment</w:t>
            </w:r>
          </w:p>
          <w:p w14:paraId="082818C1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lastRenderedPageBreak/>
              <w:t>Ensure functioning appropriately during workplace inspection</w:t>
            </w:r>
          </w:p>
          <w:p w14:paraId="054A6155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Discard and/or remove any unnecessary equipment and storage items</w:t>
            </w:r>
          </w:p>
          <w:p w14:paraId="1184BCB8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System indicating workers are sing compactus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89338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lastRenderedPageBreak/>
              <w:t>Low</w:t>
            </w:r>
          </w:p>
        </w:tc>
      </w:tr>
      <w:tr w:rsidR="00511ACE" w:rsidRPr="00511ACE" w14:paraId="5ABCE2B4" w14:textId="77777777" w:rsidTr="00927C1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FF2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Moving and arranging office </w:t>
            </w:r>
          </w:p>
          <w:p w14:paraId="7F11E9B5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furniture and equipment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9F0" w14:textId="7B1C7063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Manual handling injuries from lifting, </w:t>
            </w:r>
            <w:r w:rsidR="00224330" w:rsidRPr="00511ACE">
              <w:rPr>
                <w:rFonts w:ascii="Calibri" w:hAnsi="Calibri"/>
                <w:szCs w:val="16"/>
              </w:rPr>
              <w:t>pushing,</w:t>
            </w:r>
            <w:r w:rsidRPr="00511ACE">
              <w:rPr>
                <w:rFonts w:ascii="Calibri" w:hAnsi="Calibri"/>
                <w:szCs w:val="16"/>
              </w:rPr>
              <w:t xml:space="preserve"> and pulling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2FB0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4463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Minor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4E73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6C5E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5A231CC7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 xml:space="preserve">Occupational Health and Safety Regulations 2017 </w:t>
            </w:r>
            <w:r w:rsidRPr="00511ACE">
              <w:rPr>
                <w:rFonts w:ascii="Calibri" w:hAnsi="Calibri"/>
                <w:szCs w:val="16"/>
              </w:rPr>
              <w:t xml:space="preserve">(Vic) Part 3.1 </w:t>
            </w:r>
            <w:r>
              <w:rPr>
                <w:rFonts w:ascii="Calibri" w:hAnsi="Calibri"/>
                <w:szCs w:val="16"/>
              </w:rPr>
              <w:t xml:space="preserve">Hazardous </w:t>
            </w:r>
            <w:r w:rsidRPr="00511ACE">
              <w:rPr>
                <w:rFonts w:ascii="Calibri" w:hAnsi="Calibri"/>
                <w:szCs w:val="16"/>
              </w:rPr>
              <w:t xml:space="preserve">Manual Handling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D4D7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  <w:p w14:paraId="63D8E7B6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Hazardous manual handling requirements</w:t>
            </w:r>
          </w:p>
          <w:p w14:paraId="133E2662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Ergonomics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33B57" w14:textId="105C0FD6" w:rsidR="00511ACE" w:rsidRPr="00511ACE" w:rsidRDefault="00224330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Workstation</w:t>
            </w:r>
            <w:r w:rsidR="00511ACE" w:rsidRPr="00511ACE">
              <w:rPr>
                <w:rFonts w:ascii="Calibri" w:hAnsi="Calibri"/>
                <w:szCs w:val="16"/>
              </w:rPr>
              <w:t xml:space="preserve"> </w:t>
            </w:r>
            <w:proofErr w:type="spellStart"/>
            <w:r w:rsidR="00511ACE">
              <w:rPr>
                <w:rFonts w:ascii="Calibri" w:hAnsi="Calibri"/>
                <w:szCs w:val="16"/>
              </w:rPr>
              <w:t>self</w:t>
            </w:r>
            <w:r w:rsidR="00511ACE" w:rsidRPr="00511ACE">
              <w:rPr>
                <w:rFonts w:ascii="Calibri" w:hAnsi="Calibri"/>
                <w:szCs w:val="16"/>
              </w:rPr>
              <w:t xml:space="preserve"> assessments</w:t>
            </w:r>
            <w:proofErr w:type="spellEnd"/>
          </w:p>
          <w:p w14:paraId="5E186C38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of trolleys and other lifting aids</w:t>
            </w:r>
          </w:p>
          <w:p w14:paraId="69FC8498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Risk assessment</w:t>
            </w:r>
          </w:p>
          <w:p w14:paraId="1777BCC6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Worker training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AD94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Low</w:t>
            </w:r>
          </w:p>
        </w:tc>
      </w:tr>
      <w:tr w:rsidR="00511ACE" w:rsidRPr="00511ACE" w14:paraId="749FDA64" w14:textId="77777777" w:rsidTr="00927C1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E85D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Receipt of office supplies such as paper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EA83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Manual handling injuries from lifting</w:t>
            </w:r>
          </w:p>
          <w:p w14:paraId="6B707C4D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Inappropriate storage areas when first delivered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D9892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Possible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09F6" w14:textId="77777777" w:rsidR="00511ACE" w:rsidRPr="00511ACE" w:rsidRDefault="00511ACE" w:rsidP="00511ACE">
            <w:pPr>
              <w:pStyle w:val="tabletext"/>
              <w:ind w:left="-255" w:right="-249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CB94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C2DC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64AF577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 xml:space="preserve">Occupational Health and Safety Regulations 2017 </w:t>
            </w:r>
            <w:r w:rsidRPr="00511ACE">
              <w:rPr>
                <w:rFonts w:ascii="Calibri" w:hAnsi="Calibri"/>
                <w:szCs w:val="16"/>
              </w:rPr>
              <w:t xml:space="preserve">(Vic) Part 3.1 </w:t>
            </w:r>
            <w:r>
              <w:rPr>
                <w:rFonts w:ascii="Calibri" w:hAnsi="Calibri"/>
                <w:szCs w:val="16"/>
              </w:rPr>
              <w:t xml:space="preserve">Hazardous </w:t>
            </w:r>
            <w:r w:rsidRPr="00511ACE">
              <w:rPr>
                <w:rFonts w:ascii="Calibri" w:hAnsi="Calibri"/>
                <w:szCs w:val="16"/>
              </w:rPr>
              <w:t xml:space="preserve">Manual Handling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B556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  <w:p w14:paraId="56CB86EC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Hazardous manual handling requirements</w:t>
            </w:r>
          </w:p>
          <w:p w14:paraId="5903EE0A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Ergonomics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FDB77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Risk assessment</w:t>
            </w:r>
          </w:p>
          <w:p w14:paraId="6F2311EF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Ordering appropriate quantities of supplies as required</w:t>
            </w:r>
          </w:p>
          <w:p w14:paraId="2F73F66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of trolley to move supplies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F17C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Low</w:t>
            </w:r>
          </w:p>
        </w:tc>
      </w:tr>
      <w:tr w:rsidR="00511ACE" w:rsidRPr="00511ACE" w14:paraId="69D4572F" w14:textId="77777777" w:rsidTr="00927C1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1EF2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General office environment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040D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Poor housekeeping and storage arrangements (also listed above):</w:t>
            </w:r>
          </w:p>
          <w:p w14:paraId="17F25445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accumulation of rubbish</w:t>
            </w:r>
          </w:p>
          <w:p w14:paraId="4697A3F9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tripping of inappropriately place items (</w:t>
            </w:r>
            <w:proofErr w:type="spellStart"/>
            <w:proofErr w:type="gramStart"/>
            <w:r w:rsidRPr="00511ACE">
              <w:rPr>
                <w:rFonts w:ascii="Calibri" w:hAnsi="Calibri"/>
                <w:szCs w:val="16"/>
              </w:rPr>
              <w:t>eg</w:t>
            </w:r>
            <w:proofErr w:type="spellEnd"/>
            <w:proofErr w:type="gramEnd"/>
            <w:r w:rsidRPr="00511ACE">
              <w:rPr>
                <w:rFonts w:ascii="Calibri" w:hAnsi="Calibri"/>
                <w:szCs w:val="16"/>
              </w:rPr>
              <w:t xml:space="preserve"> electrical power cords)</w:t>
            </w:r>
          </w:p>
          <w:p w14:paraId="427A572E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damaged power cords</w:t>
            </w:r>
          </w:p>
          <w:p w14:paraId="6A6F63BD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blocked emergency exits</w:t>
            </w:r>
          </w:p>
          <w:p w14:paraId="4E52364E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overloaded shelving</w:t>
            </w:r>
          </w:p>
          <w:p w14:paraId="42FA36B6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bumping/walking into opened cupboards and drawers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BEEF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9000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Minor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F3D1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C05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2D88E684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proofErr w:type="spellStart"/>
            <w:r w:rsidRPr="00511ACE">
              <w:rPr>
                <w:rFonts w:ascii="Calibri" w:hAnsi="Calibri"/>
                <w:szCs w:val="16"/>
              </w:rPr>
              <w:t>OfficeWise</w:t>
            </w:r>
            <w:proofErr w:type="spellEnd"/>
            <w:r w:rsidRPr="00511ACE">
              <w:rPr>
                <w:rFonts w:ascii="Calibri" w:hAnsi="Calibri"/>
                <w:szCs w:val="16"/>
              </w:rPr>
              <w:t xml:space="preserve"> </w:t>
            </w:r>
            <w:r w:rsidR="005E6BEC" w:rsidRPr="00511ACE">
              <w:rPr>
                <w:rFonts w:ascii="Calibri" w:hAnsi="Calibri"/>
                <w:szCs w:val="16"/>
              </w:rPr>
              <w:t>(</w:t>
            </w:r>
            <w:r w:rsidR="005E6BEC">
              <w:rPr>
                <w:rFonts w:ascii="Calibri" w:hAnsi="Calibri"/>
                <w:szCs w:val="16"/>
              </w:rPr>
              <w:t>Vic</w:t>
            </w:r>
            <w:r w:rsidR="005E6BEC" w:rsidRPr="00511ACE">
              <w:rPr>
                <w:rFonts w:ascii="Calibri" w:hAnsi="Calibri"/>
                <w:szCs w:val="16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0229A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  <w:p w14:paraId="383C672E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Hazardous manual handling requirements</w:t>
            </w:r>
          </w:p>
          <w:p w14:paraId="004F25A8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Ergonomics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5E9E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Scheduled office workplace inspections</w:t>
            </w:r>
          </w:p>
          <w:p w14:paraId="608EC344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Regular rubbish removal</w:t>
            </w:r>
          </w:p>
          <w:p w14:paraId="5FE5F745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Worker training</w:t>
            </w:r>
          </w:p>
          <w:p w14:paraId="144BFDAB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Running electrical power cords away from walkways</w:t>
            </w:r>
          </w:p>
          <w:p w14:paraId="424F364E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Testing and tagging of electrical equipment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161D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Low</w:t>
            </w:r>
          </w:p>
        </w:tc>
      </w:tr>
      <w:tr w:rsidR="00511ACE" w:rsidRPr="00511ACE" w14:paraId="5C73AA8E" w14:textId="77777777" w:rsidTr="00927C17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A1A2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Accessing the office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8B7C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Unknown individual enters office:</w:t>
            </w:r>
          </w:p>
          <w:p w14:paraId="26EDE067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theft</w:t>
            </w:r>
          </w:p>
          <w:p w14:paraId="0EC6866B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property damage</w:t>
            </w:r>
          </w:p>
          <w:p w14:paraId="711F76C8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lastRenderedPageBreak/>
              <w:t>psychological or physical injuries</w:t>
            </w:r>
          </w:p>
          <w:p w14:paraId="5F1CD489" w14:textId="77777777" w:rsidR="00511ACE" w:rsidRPr="00511ACE" w:rsidRDefault="00511ACE" w:rsidP="00511ACE">
            <w:pPr>
              <w:tabs>
                <w:tab w:val="num" w:pos="284"/>
              </w:tabs>
              <w:adjustRightInd/>
              <w:ind w:left="284" w:right="65" w:hanging="22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26B9A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lastRenderedPageBreak/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D900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Minor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97C3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Low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79B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168B285C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proofErr w:type="spellStart"/>
            <w:r w:rsidRPr="00511ACE">
              <w:rPr>
                <w:rFonts w:ascii="Calibri" w:hAnsi="Calibri"/>
                <w:szCs w:val="16"/>
              </w:rPr>
              <w:t>OfficeWise</w:t>
            </w:r>
            <w:proofErr w:type="spellEnd"/>
            <w:r w:rsidRPr="00511ACE">
              <w:rPr>
                <w:rFonts w:ascii="Calibri" w:hAnsi="Calibri"/>
                <w:szCs w:val="16"/>
              </w:rPr>
              <w:t xml:space="preserve"> </w:t>
            </w:r>
            <w:r w:rsidR="005E6BEC" w:rsidRPr="00511ACE">
              <w:rPr>
                <w:rFonts w:ascii="Calibri" w:hAnsi="Calibri"/>
                <w:szCs w:val="16"/>
              </w:rPr>
              <w:t>(</w:t>
            </w:r>
            <w:r w:rsidR="005E6BEC">
              <w:rPr>
                <w:rFonts w:ascii="Calibri" w:hAnsi="Calibri"/>
                <w:szCs w:val="16"/>
              </w:rPr>
              <w:t>Vic</w:t>
            </w:r>
            <w:r w:rsidR="005E6BEC" w:rsidRPr="00511ACE">
              <w:rPr>
                <w:rFonts w:ascii="Calibri" w:hAnsi="Calibri"/>
                <w:szCs w:val="16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81F6B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A4F72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Risk assessment</w:t>
            </w:r>
          </w:p>
          <w:p w14:paraId="76C6A0C0" w14:textId="52F72D15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Electronic access </w:t>
            </w:r>
            <w:r w:rsidR="00224330" w:rsidRPr="00511ACE">
              <w:rPr>
                <w:rFonts w:ascii="Calibri" w:hAnsi="Calibri"/>
                <w:szCs w:val="16"/>
              </w:rPr>
              <w:t>e.g.,</w:t>
            </w:r>
            <w:r w:rsidRPr="00511ACE">
              <w:rPr>
                <w:rFonts w:ascii="Calibri" w:hAnsi="Calibri"/>
                <w:szCs w:val="16"/>
              </w:rPr>
              <w:t xml:space="preserve"> swipe card system</w:t>
            </w:r>
          </w:p>
          <w:p w14:paraId="3D11EBDF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lastRenderedPageBreak/>
              <w:t>Worker training and induction that includes local emergency procedures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A93E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lastRenderedPageBreak/>
              <w:t>Low</w:t>
            </w:r>
          </w:p>
        </w:tc>
      </w:tr>
      <w:tr w:rsidR="00511ACE" w:rsidRPr="00511ACE" w14:paraId="3106617D" w14:textId="77777777" w:rsidTr="00611A2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ED50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of kitchen facilities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D32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Poor housekeeping</w:t>
            </w:r>
          </w:p>
          <w:p w14:paraId="0D023007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Burns from boiling water</w:t>
            </w:r>
          </w:p>
          <w:p w14:paraId="27F92F7F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Cuts from kitchen cutlery</w:t>
            </w:r>
          </w:p>
          <w:p w14:paraId="1D9FE265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Liquid spills</w:t>
            </w:r>
          </w:p>
          <w:p w14:paraId="19BD0C91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Electrocution/electric shock from electrical appliances</w:t>
            </w:r>
          </w:p>
          <w:p w14:paraId="0497E248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Kitchen fire</w:t>
            </w:r>
          </w:p>
          <w:p w14:paraId="51D0A232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Cleaning chemicals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B414A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Unlikely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87A8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Major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EE5B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High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E6FB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  <w:p w14:paraId="5D4227CA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Regulations 2017</w:t>
            </w:r>
            <w:r w:rsidRPr="00511ACE">
              <w:rPr>
                <w:rFonts w:ascii="Calibri" w:hAnsi="Calibri"/>
                <w:szCs w:val="16"/>
              </w:rPr>
              <w:t xml:space="preserve"> (Vic) Part 4.1 Hazardous Substances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4CEB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  <w:p w14:paraId="097CB9BA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i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Workplace inspection requirements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DCCB2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Include kitchen facilities in scheduled office workplace inspections</w:t>
            </w:r>
          </w:p>
          <w:p w14:paraId="0DD27E04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Place boiling water appliances at working height</w:t>
            </w:r>
          </w:p>
          <w:p w14:paraId="5F391F84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Non-drip taps on boiling water appliances</w:t>
            </w:r>
          </w:p>
          <w:p w14:paraId="2D7AF068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Testing and tagging of electrical equipment</w:t>
            </w:r>
          </w:p>
          <w:p w14:paraId="60659D5F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Fire extinguisher</w:t>
            </w:r>
          </w:p>
          <w:p w14:paraId="35532C5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 xml:space="preserve">First aid kit </w:t>
            </w:r>
          </w:p>
          <w:p w14:paraId="52D7DAFE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Trained first aider</w:t>
            </w:r>
          </w:p>
          <w:p w14:paraId="3DF92BA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Floor warden</w:t>
            </w:r>
          </w:p>
          <w:p w14:paraId="1B0B5B7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Worker training and induction that includes local emergency procedures</w:t>
            </w:r>
          </w:p>
          <w:p w14:paraId="1DBFA80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Clean up kitchen spills immediately</w:t>
            </w:r>
          </w:p>
          <w:p w14:paraId="5C9D4A2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SDS for cleaning chemicals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12C2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Low</w:t>
            </w:r>
          </w:p>
        </w:tc>
      </w:tr>
      <w:tr w:rsidR="00511ACE" w:rsidRPr="00511ACE" w14:paraId="2F5E4F1B" w14:textId="77777777" w:rsidTr="00611A2B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B70C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of office equipment such as:</w:t>
            </w:r>
          </w:p>
          <w:p w14:paraId="343941DE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staplers, hole punch</w:t>
            </w:r>
          </w:p>
          <w:p w14:paraId="13A0BAD1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photocopiers</w:t>
            </w:r>
          </w:p>
          <w:p w14:paraId="182B9D40" w14:textId="77777777" w:rsidR="00511ACE" w:rsidRPr="00511ACE" w:rsidRDefault="00511ACE" w:rsidP="00F719B6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fax machines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200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Manual handling injuries from repetitive tasks</w:t>
            </w:r>
          </w:p>
          <w:p w14:paraId="1122BB38" w14:textId="77777777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Manual handling injuries from lifting/loading paper</w:t>
            </w:r>
          </w:p>
          <w:p w14:paraId="7C75186D" w14:textId="3FBA2D0B" w:rsidR="00511ACE" w:rsidRPr="00511ACE" w:rsidRDefault="00511ACE" w:rsidP="00511ACE">
            <w:pPr>
              <w:pStyle w:val="tabletext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Cuts from sharp objects (</w:t>
            </w:r>
            <w:r w:rsidR="00224330" w:rsidRPr="00511ACE">
              <w:rPr>
                <w:rFonts w:ascii="Calibri" w:hAnsi="Calibri"/>
                <w:szCs w:val="16"/>
              </w:rPr>
              <w:t>e.g.,</w:t>
            </w:r>
            <w:r w:rsidRPr="00511ACE">
              <w:rPr>
                <w:rFonts w:ascii="Calibri" w:hAnsi="Calibri"/>
                <w:szCs w:val="16"/>
              </w:rPr>
              <w:t xml:space="preserve"> staples)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F992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Possible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2623" w14:textId="77777777" w:rsidR="00511ACE" w:rsidRPr="00511ACE" w:rsidRDefault="00511ACE" w:rsidP="00511ACE">
            <w:pPr>
              <w:pStyle w:val="tabletext"/>
              <w:ind w:left="-255" w:right="-249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Moderate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ED39" w14:textId="77777777" w:rsidR="00511ACE" w:rsidRPr="00511ACE" w:rsidRDefault="00511ACE" w:rsidP="00511ACE">
            <w:pPr>
              <w:pStyle w:val="tabletext"/>
              <w:ind w:left="-110" w:right="-96"/>
              <w:jc w:val="center"/>
              <w:rPr>
                <w:rFonts w:ascii="Calibri" w:hAnsi="Calibri"/>
                <w:sz w:val="14"/>
                <w:szCs w:val="14"/>
              </w:rPr>
            </w:pPr>
            <w:r w:rsidRPr="00511ACE">
              <w:rPr>
                <w:rFonts w:ascii="Calibri" w:hAnsi="Calibri"/>
                <w:sz w:val="14"/>
                <w:szCs w:val="14"/>
              </w:rPr>
              <w:t>Medium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BBF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1" w:hanging="171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Occupational Health and Safety Act 2004</w:t>
            </w:r>
            <w:r w:rsidRPr="00511ACE">
              <w:rPr>
                <w:rFonts w:ascii="Calibri" w:hAnsi="Calibri"/>
                <w:szCs w:val="16"/>
              </w:rPr>
              <w:t xml:space="preserve"> (Vic)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D38A2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72" w:hanging="172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i/>
                <w:szCs w:val="16"/>
              </w:rPr>
              <w:t>Health &amp; Safety: Risk management requirements</w:t>
            </w:r>
            <w:r w:rsidRPr="00511ACE">
              <w:rPr>
                <w:rFonts w:ascii="Calibri" w:hAnsi="Calibri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8E6B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Risk assessment</w:t>
            </w:r>
          </w:p>
          <w:p w14:paraId="676E8A8A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Purchase and use of suitable equipment</w:t>
            </w:r>
          </w:p>
          <w:p w14:paraId="16C5D103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Vary tasks</w:t>
            </w:r>
          </w:p>
          <w:p w14:paraId="3DF023C0" w14:textId="77777777" w:rsidR="00511ACE" w:rsidRPr="00511ACE" w:rsidRDefault="00511ACE" w:rsidP="00511ACE">
            <w:pPr>
              <w:pStyle w:val="tabletext"/>
              <w:numPr>
                <w:ilvl w:val="0"/>
                <w:numId w:val="6"/>
              </w:numPr>
              <w:ind w:left="196" w:hanging="196"/>
              <w:rPr>
                <w:rFonts w:ascii="Calibri" w:hAnsi="Calibri"/>
                <w:szCs w:val="16"/>
              </w:rPr>
            </w:pPr>
            <w:r w:rsidRPr="00511ACE">
              <w:rPr>
                <w:rFonts w:ascii="Calibri" w:hAnsi="Calibri"/>
                <w:szCs w:val="16"/>
              </w:rPr>
              <w:t>Use automated/</w:t>
            </w:r>
            <w:proofErr w:type="spellStart"/>
            <w:r w:rsidRPr="00511ACE">
              <w:rPr>
                <w:rFonts w:ascii="Calibri" w:hAnsi="Calibri"/>
                <w:szCs w:val="16"/>
              </w:rPr>
              <w:t>motorised</w:t>
            </w:r>
            <w:proofErr w:type="spellEnd"/>
            <w:r w:rsidRPr="00511ACE">
              <w:rPr>
                <w:rFonts w:ascii="Calibri" w:hAnsi="Calibri"/>
                <w:szCs w:val="16"/>
              </w:rPr>
              <w:t xml:space="preserve"> equipment for large volumes of work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576A" w14:textId="77777777" w:rsidR="00511ACE" w:rsidRPr="00F719B6" w:rsidRDefault="00511ACE" w:rsidP="00511ACE">
            <w:pPr>
              <w:pStyle w:val="tabletext"/>
              <w:jc w:val="center"/>
              <w:rPr>
                <w:rFonts w:ascii="Calibri" w:hAnsi="Calibri"/>
                <w:szCs w:val="16"/>
              </w:rPr>
            </w:pPr>
            <w:r w:rsidRPr="00F719B6">
              <w:rPr>
                <w:rFonts w:ascii="Calibri" w:hAnsi="Calibri"/>
                <w:szCs w:val="16"/>
              </w:rPr>
              <w:t>Low</w:t>
            </w:r>
          </w:p>
        </w:tc>
      </w:tr>
    </w:tbl>
    <w:p w14:paraId="500D913B" w14:textId="77777777" w:rsidR="000B0FB4" w:rsidRPr="00714798" w:rsidRDefault="000B0FB4" w:rsidP="00714798">
      <w:pPr>
        <w:pStyle w:val="tabletext"/>
        <w:rPr>
          <w:rFonts w:asciiTheme="minorHAnsi" w:hAnsiTheme="minorHAnsi"/>
          <w:spacing w:val="-8"/>
          <w:sz w:val="18"/>
        </w:rPr>
      </w:pPr>
    </w:p>
    <w:sectPr w:rsidR="000B0FB4" w:rsidRPr="00714798" w:rsidSect="00714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3" w:h="11904" w:orient="landscape" w:code="9"/>
      <w:pgMar w:top="397" w:right="397" w:bottom="1247" w:left="397" w:header="397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3E51F" w14:textId="77777777" w:rsidR="007F2806" w:rsidRDefault="007F2806">
      <w:r>
        <w:separator/>
      </w:r>
    </w:p>
  </w:endnote>
  <w:endnote w:type="continuationSeparator" w:id="0">
    <w:p w14:paraId="2F280774" w14:textId="77777777" w:rsidR="007F2806" w:rsidRDefault="007F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EA93" w14:textId="77777777" w:rsidR="00244CB6" w:rsidRDefault="00244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854A" w14:textId="040E490D" w:rsidR="002E1216" w:rsidRDefault="00000000" w:rsidP="002B5403">
    <w:pPr>
      <w:pStyle w:val="footertext"/>
      <w:pBdr>
        <w:bottom w:val="single" w:sz="4" w:space="3" w:color="auto"/>
      </w:pBdr>
      <w:tabs>
        <w:tab w:val="right" w:pos="15735"/>
      </w:tabs>
      <w:spacing w:after="60"/>
    </w:pPr>
    <w:hyperlink r:id="rId1" w:history="1">
      <w:r w:rsidR="002E1216">
        <w:rPr>
          <w:rStyle w:val="footerfieldlabelChar"/>
        </w:rPr>
        <w:t>safety</w:t>
      </w:r>
      <w:r w:rsidR="002E1216" w:rsidRPr="00014164">
        <w:rPr>
          <w:rStyle w:val="footerfieldlabelChar"/>
        </w:rPr>
        <w:t>.unimelb.edu.au</w:t>
      </w:r>
    </w:hyperlink>
    <w:r w:rsidR="002E1216">
      <w:tab/>
    </w:r>
    <w:r w:rsidR="00EB5FCB">
      <w:t xml:space="preserve">HEALTH </w:t>
    </w:r>
    <w:r w:rsidR="00FC1F3E">
      <w:t>&amp;</w:t>
    </w:r>
    <w:r w:rsidR="00EB5FCB">
      <w:t xml:space="preserve"> SAFETY </w:t>
    </w:r>
    <w:r w:rsidR="005B6B72">
      <w:t>–</w:t>
    </w:r>
    <w:r w:rsidR="00EB5FCB">
      <w:t xml:space="preserve"> </w:t>
    </w:r>
    <w:r w:rsidR="005B6B72">
      <w:t xml:space="preserve">RISK REGISTER: </w:t>
    </w:r>
    <w:r w:rsidR="002E1216" w:rsidRPr="000B0FB4">
      <w:rPr>
        <w:rStyle w:val="footerdocheaderChar"/>
      </w:rPr>
      <w:t>Example of a</w:t>
    </w:r>
    <w:r w:rsidR="00DE7994">
      <w:rPr>
        <w:rStyle w:val="footerdocheaderChar"/>
      </w:rPr>
      <w:t>n OHS</w:t>
    </w:r>
    <w:r w:rsidR="002E1216" w:rsidRPr="000B0FB4">
      <w:rPr>
        <w:rStyle w:val="footerdocheaderChar"/>
      </w:rPr>
      <w:t xml:space="preserve"> Risk Register for </w:t>
    </w:r>
    <w:r w:rsidR="002E1216">
      <w:rPr>
        <w:rStyle w:val="footerdocheaderChar"/>
      </w:rPr>
      <w:t>Office</w:t>
    </w:r>
    <w:r w:rsidR="002E1216" w:rsidRPr="000B0FB4">
      <w:rPr>
        <w:rStyle w:val="footerdocheaderChar"/>
      </w:rPr>
      <w:t xml:space="preserve">-Based Activities </w:t>
    </w:r>
    <w:r w:rsidR="007032E9" w:rsidRPr="00014164">
      <w:rPr>
        <w:rStyle w:val="footerfieldlabelChar"/>
      </w:rPr>
      <w:fldChar w:fldCharType="begin"/>
    </w:r>
    <w:r w:rsidR="002E1216" w:rsidRPr="00014164">
      <w:rPr>
        <w:rStyle w:val="footerfieldlabelChar"/>
      </w:rPr>
      <w:instrText xml:space="preserve"> PAGE </w:instrText>
    </w:r>
    <w:r w:rsidR="007032E9" w:rsidRPr="00014164">
      <w:rPr>
        <w:rStyle w:val="footerfieldlabelChar"/>
      </w:rPr>
      <w:fldChar w:fldCharType="separate"/>
    </w:r>
    <w:r w:rsidR="00CB3339">
      <w:rPr>
        <w:rStyle w:val="footerfieldlabelChar"/>
        <w:noProof/>
      </w:rPr>
      <w:t>1</w:t>
    </w:r>
    <w:r w:rsidR="007032E9" w:rsidRPr="00014164">
      <w:rPr>
        <w:rStyle w:val="footerfieldlabelChar"/>
      </w:rPr>
      <w:fldChar w:fldCharType="end"/>
    </w:r>
    <w:r w:rsidR="002E1216">
      <w:rPr>
        <w:rStyle w:val="footerfieldlabelChar"/>
      </w:rPr>
      <w:t xml:space="preserve"> of </w:t>
    </w:r>
    <w:r w:rsidR="007032E9" w:rsidRPr="00310646">
      <w:rPr>
        <w:rStyle w:val="footerfieldlabelChar"/>
      </w:rPr>
      <w:fldChar w:fldCharType="begin"/>
    </w:r>
    <w:r w:rsidR="002E1216" w:rsidRPr="00310646">
      <w:rPr>
        <w:rStyle w:val="footerfieldlabelChar"/>
      </w:rPr>
      <w:instrText xml:space="preserve"> NUMPAGES </w:instrText>
    </w:r>
    <w:r w:rsidR="007032E9" w:rsidRPr="00310646">
      <w:rPr>
        <w:rStyle w:val="footerfieldlabelChar"/>
      </w:rPr>
      <w:fldChar w:fldCharType="separate"/>
    </w:r>
    <w:r w:rsidR="00CB3339">
      <w:rPr>
        <w:rStyle w:val="footerfieldlabelChar"/>
        <w:noProof/>
      </w:rPr>
      <w:t>3</w:t>
    </w:r>
    <w:r w:rsidR="007032E9" w:rsidRPr="00310646">
      <w:rPr>
        <w:rStyle w:val="footerfieldlabelChar"/>
      </w:rPr>
      <w:fldChar w:fldCharType="end"/>
    </w:r>
  </w:p>
  <w:p w14:paraId="271A3729" w14:textId="59C6788F" w:rsidR="002E1216" w:rsidRDefault="002E1216" w:rsidP="002B5403">
    <w:pPr>
      <w:pStyle w:val="footertext"/>
      <w:jc w:val="right"/>
    </w:pPr>
    <w:r>
      <w:rPr>
        <w:rStyle w:val="footerfieldlabelChar"/>
      </w:rPr>
      <w:t xml:space="preserve">Template </w:t>
    </w:r>
    <w:r w:rsidRPr="00014164">
      <w:rPr>
        <w:rStyle w:val="footerfieldlabelChar"/>
      </w:rPr>
      <w:t>Date</w:t>
    </w:r>
    <w:r>
      <w:t xml:space="preserve">: </w:t>
    </w:r>
    <w:r w:rsidR="00511ACE">
      <w:t>September 20</w:t>
    </w:r>
    <w:r w:rsidR="00612E54">
      <w:t>22</w:t>
    </w:r>
    <w:r>
      <w:t xml:space="preserve">  </w:t>
    </w:r>
    <w:r w:rsidRPr="00014164">
      <w:rPr>
        <w:rStyle w:val="footerfieldlabelChar"/>
      </w:rPr>
      <w:t>Version</w:t>
    </w:r>
    <w:r w:rsidR="00511ACE">
      <w:t>: 1.</w:t>
    </w:r>
    <w:r w:rsidR="00224330">
      <w:t>3</w:t>
    </w:r>
    <w:r w:rsidR="00361073">
      <w:t xml:space="preserve"> </w:t>
    </w:r>
    <w:r>
      <w:t xml:space="preserve"> </w:t>
    </w:r>
    <w:proofErr w:type="spellStart"/>
    <w:r w:rsidRPr="00014164">
      <w:rPr>
        <w:rStyle w:val="footerfieldlabelChar"/>
      </w:rPr>
      <w:t>Authorised</w:t>
    </w:r>
    <w:proofErr w:type="spellEnd"/>
    <w:r w:rsidRPr="00014164">
      <w:rPr>
        <w:rStyle w:val="footerfieldlabelChar"/>
      </w:rPr>
      <w:t xml:space="preserve"> by</w:t>
    </w:r>
    <w:r>
      <w:t xml:space="preserve">: </w:t>
    </w:r>
    <w:r w:rsidR="00224330">
      <w:t>Director</w:t>
    </w:r>
    <w:r>
      <w:t xml:space="preserve">, </w:t>
    </w:r>
    <w:r w:rsidR="00EB5FCB">
      <w:t xml:space="preserve">Health </w:t>
    </w:r>
    <w:r w:rsidR="00FC1F3E">
      <w:t>&amp;</w:t>
    </w:r>
    <w:r w:rsidR="00EB5FCB">
      <w:t xml:space="preserve"> Safety</w:t>
    </w:r>
    <w:r w:rsidR="00A83AE7">
      <w:t xml:space="preserve"> </w:t>
    </w:r>
    <w:r w:rsidRPr="00014164">
      <w:rPr>
        <w:rStyle w:val="footerfieldlabelChar"/>
      </w:rPr>
      <w:t>Next Review</w:t>
    </w:r>
    <w:r>
      <w:t xml:space="preserve">: </w:t>
    </w:r>
    <w:r w:rsidR="00511ACE">
      <w:t>September 202</w:t>
    </w:r>
    <w:r w:rsidR="00612E54">
      <w:t>7</w:t>
    </w:r>
  </w:p>
  <w:p w14:paraId="33C2DA1D" w14:textId="77777777" w:rsidR="002E1216" w:rsidRDefault="002E1216" w:rsidP="002B5403">
    <w:pPr>
      <w:pStyle w:val="footertext"/>
      <w:jc w:val="right"/>
    </w:pPr>
    <w:r>
      <w:t xml:space="preserve">© The </w:t>
    </w:r>
    <w:smartTag w:uri="urn:schemas-microsoft-com:office:smarttags" w:element="place"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Melbourne</w:t>
        </w:r>
      </w:smartTag>
    </w:smartTag>
    <w:r>
      <w:t xml:space="preserve"> – Uncontrolled when printed.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2F88" w14:textId="77777777" w:rsidR="00244CB6" w:rsidRDefault="00244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9697B" w14:textId="77777777" w:rsidR="007F2806" w:rsidRDefault="007F2806">
      <w:r>
        <w:separator/>
      </w:r>
    </w:p>
  </w:footnote>
  <w:footnote w:type="continuationSeparator" w:id="0">
    <w:p w14:paraId="2F6CF163" w14:textId="77777777" w:rsidR="007F2806" w:rsidRDefault="007F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82E2" w14:textId="77777777" w:rsidR="002E1216" w:rsidRDefault="00000000">
    <w:pPr>
      <w:pStyle w:val="Header"/>
    </w:pPr>
    <w:r>
      <w:rPr>
        <w:noProof/>
      </w:rPr>
      <w:pict w14:anchorId="1978E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59.4pt;height:159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DE91" w14:textId="77777777" w:rsidR="002E1216" w:rsidRPr="00966BAD" w:rsidRDefault="00000000">
    <w:pPr>
      <w:pStyle w:val="Header"/>
      <w:rPr>
        <w:sz w:val="4"/>
        <w:szCs w:val="4"/>
      </w:rPr>
    </w:pPr>
    <w:r>
      <w:rPr>
        <w:noProof/>
        <w:sz w:val="4"/>
        <w:szCs w:val="4"/>
      </w:rPr>
      <w:pict w14:anchorId="4F3D6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59.4pt;height:15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DFA0" w14:textId="77777777" w:rsidR="002E1216" w:rsidRDefault="00000000">
    <w:pPr>
      <w:pStyle w:val="Header"/>
    </w:pPr>
    <w:r>
      <w:rPr>
        <w:noProof/>
      </w:rPr>
      <w:pict w14:anchorId="0228A0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59.4pt;height:159.8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357A"/>
    <w:multiLevelType w:val="hybridMultilevel"/>
    <w:tmpl w:val="790E927E"/>
    <w:lvl w:ilvl="0" w:tplc="7C2A7EE1">
      <w:numFmt w:val="bullet"/>
      <w:lvlText w:val="·"/>
      <w:lvlJc w:val="left"/>
      <w:pPr>
        <w:tabs>
          <w:tab w:val="num" w:pos="360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AF1"/>
    <w:multiLevelType w:val="hybridMultilevel"/>
    <w:tmpl w:val="395E4776"/>
    <w:lvl w:ilvl="0" w:tplc="2B6C39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A86678"/>
    <w:multiLevelType w:val="hybridMultilevel"/>
    <w:tmpl w:val="C2B67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52E05"/>
    <w:multiLevelType w:val="hybridMultilevel"/>
    <w:tmpl w:val="409AD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076A6"/>
    <w:multiLevelType w:val="multilevel"/>
    <w:tmpl w:val="395E4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8F4D20"/>
    <w:multiLevelType w:val="hybridMultilevel"/>
    <w:tmpl w:val="3454E19A"/>
    <w:lvl w:ilvl="0" w:tplc="7C2A7EE1">
      <w:numFmt w:val="bullet"/>
      <w:lvlText w:val="·"/>
      <w:lvlJc w:val="left"/>
      <w:pPr>
        <w:tabs>
          <w:tab w:val="num" w:pos="3161"/>
        </w:tabs>
      </w:pPr>
      <w:rPr>
        <w:rFonts w:ascii="Symbol" w:hAnsi="Symbol" w:cs="Symbol"/>
        <w:snapToGrid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7DEB66EF"/>
    <w:multiLevelType w:val="hybridMultilevel"/>
    <w:tmpl w:val="34249668"/>
    <w:lvl w:ilvl="0" w:tplc="F118BA6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 w16cid:durableId="776171272">
    <w:abstractNumId w:val="1"/>
  </w:num>
  <w:num w:numId="2" w16cid:durableId="1409034793">
    <w:abstractNumId w:val="4"/>
  </w:num>
  <w:num w:numId="3" w16cid:durableId="1718120451">
    <w:abstractNumId w:val="6"/>
  </w:num>
  <w:num w:numId="4" w16cid:durableId="1137452580">
    <w:abstractNumId w:val="0"/>
  </w:num>
  <w:num w:numId="5" w16cid:durableId="73935873">
    <w:abstractNumId w:val="5"/>
  </w:num>
  <w:num w:numId="6" w16cid:durableId="256642642">
    <w:abstractNumId w:val="3"/>
  </w:num>
  <w:num w:numId="7" w16cid:durableId="1876769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882"/>
    <w:rsid w:val="00050A35"/>
    <w:rsid w:val="000667A9"/>
    <w:rsid w:val="00087EBA"/>
    <w:rsid w:val="00096B08"/>
    <w:rsid w:val="000B0FB4"/>
    <w:rsid w:val="000B2D27"/>
    <w:rsid w:val="000F4121"/>
    <w:rsid w:val="00116F24"/>
    <w:rsid w:val="00137E55"/>
    <w:rsid w:val="00146090"/>
    <w:rsid w:val="00154E22"/>
    <w:rsid w:val="00162B5F"/>
    <w:rsid w:val="00182489"/>
    <w:rsid w:val="001A6F61"/>
    <w:rsid w:val="001D03AF"/>
    <w:rsid w:val="001D31F7"/>
    <w:rsid w:val="00210F78"/>
    <w:rsid w:val="0021106B"/>
    <w:rsid w:val="00224330"/>
    <w:rsid w:val="00244CB6"/>
    <w:rsid w:val="00247897"/>
    <w:rsid w:val="00253EC5"/>
    <w:rsid w:val="0026006D"/>
    <w:rsid w:val="002748C9"/>
    <w:rsid w:val="002B5403"/>
    <w:rsid w:val="002E1216"/>
    <w:rsid w:val="002F69FB"/>
    <w:rsid w:val="00310646"/>
    <w:rsid w:val="0034339A"/>
    <w:rsid w:val="00346302"/>
    <w:rsid w:val="00361073"/>
    <w:rsid w:val="00383001"/>
    <w:rsid w:val="00393FC3"/>
    <w:rsid w:val="003D04C2"/>
    <w:rsid w:val="00400093"/>
    <w:rsid w:val="00400B58"/>
    <w:rsid w:val="004300D1"/>
    <w:rsid w:val="00450613"/>
    <w:rsid w:val="0045724E"/>
    <w:rsid w:val="00511ACE"/>
    <w:rsid w:val="00525CD9"/>
    <w:rsid w:val="00534E67"/>
    <w:rsid w:val="005834E6"/>
    <w:rsid w:val="005855D2"/>
    <w:rsid w:val="00591F28"/>
    <w:rsid w:val="005A7279"/>
    <w:rsid w:val="005B6B72"/>
    <w:rsid w:val="005E6BEC"/>
    <w:rsid w:val="005F4311"/>
    <w:rsid w:val="00612E54"/>
    <w:rsid w:val="00675652"/>
    <w:rsid w:val="006823CA"/>
    <w:rsid w:val="0068719F"/>
    <w:rsid w:val="006A6437"/>
    <w:rsid w:val="007032E9"/>
    <w:rsid w:val="007119C1"/>
    <w:rsid w:val="00714798"/>
    <w:rsid w:val="00721926"/>
    <w:rsid w:val="007325E9"/>
    <w:rsid w:val="00770EBF"/>
    <w:rsid w:val="00780D64"/>
    <w:rsid w:val="00790882"/>
    <w:rsid w:val="007B5F49"/>
    <w:rsid w:val="007F2806"/>
    <w:rsid w:val="0081339D"/>
    <w:rsid w:val="00846173"/>
    <w:rsid w:val="00847BAC"/>
    <w:rsid w:val="00851C82"/>
    <w:rsid w:val="00865DFB"/>
    <w:rsid w:val="00883959"/>
    <w:rsid w:val="00890E37"/>
    <w:rsid w:val="00895A20"/>
    <w:rsid w:val="00917B94"/>
    <w:rsid w:val="00924DF3"/>
    <w:rsid w:val="00926528"/>
    <w:rsid w:val="00936719"/>
    <w:rsid w:val="00966BAD"/>
    <w:rsid w:val="00995B48"/>
    <w:rsid w:val="009B048A"/>
    <w:rsid w:val="009B6FD2"/>
    <w:rsid w:val="00A0112A"/>
    <w:rsid w:val="00A71A24"/>
    <w:rsid w:val="00A83AE7"/>
    <w:rsid w:val="00AB1515"/>
    <w:rsid w:val="00AE75FA"/>
    <w:rsid w:val="00B03F62"/>
    <w:rsid w:val="00B0498F"/>
    <w:rsid w:val="00B75FD8"/>
    <w:rsid w:val="00BC4FD0"/>
    <w:rsid w:val="00C041B2"/>
    <w:rsid w:val="00C11408"/>
    <w:rsid w:val="00C17C1E"/>
    <w:rsid w:val="00C74C4B"/>
    <w:rsid w:val="00CB3339"/>
    <w:rsid w:val="00CC6A0B"/>
    <w:rsid w:val="00CD15A9"/>
    <w:rsid w:val="00D271F0"/>
    <w:rsid w:val="00D64ED0"/>
    <w:rsid w:val="00D70F85"/>
    <w:rsid w:val="00D733E7"/>
    <w:rsid w:val="00D839C9"/>
    <w:rsid w:val="00DE143C"/>
    <w:rsid w:val="00DE5E9E"/>
    <w:rsid w:val="00DE6703"/>
    <w:rsid w:val="00DE7994"/>
    <w:rsid w:val="00E44EEB"/>
    <w:rsid w:val="00E56FCD"/>
    <w:rsid w:val="00E73D44"/>
    <w:rsid w:val="00E76AB6"/>
    <w:rsid w:val="00EB5FCB"/>
    <w:rsid w:val="00ED0A41"/>
    <w:rsid w:val="00EE40E0"/>
    <w:rsid w:val="00F16A38"/>
    <w:rsid w:val="00F577FE"/>
    <w:rsid w:val="00F6454C"/>
    <w:rsid w:val="00F719B6"/>
    <w:rsid w:val="00F955A6"/>
    <w:rsid w:val="00FC1F3E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05AD4DB"/>
  <w15:chartTrackingRefBased/>
  <w15:docId w15:val="{3D0F85E2-A31F-4809-A3B3-0A996B2B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6BAD"/>
    <w:pPr>
      <w:widowControl w:val="0"/>
      <w:autoSpaceDE w:val="0"/>
      <w:autoSpaceDN w:val="0"/>
      <w:adjustRightInd w:val="0"/>
    </w:pPr>
    <w:rPr>
      <w:rFonts w:ascii="Arial" w:hAnsi="Arial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6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43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43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Normal"/>
    <w:link w:val="footertextChar"/>
    <w:rsid w:val="002B5403"/>
    <w:rPr>
      <w:rFonts w:ascii="Univers LT Std 45 Light" w:hAnsi="Univers LT Std 45 Light"/>
      <w:sz w:val="14"/>
    </w:rPr>
  </w:style>
  <w:style w:type="character" w:customStyle="1" w:styleId="footertextChar">
    <w:name w:val="footer text Char"/>
    <w:link w:val="footertext"/>
    <w:rsid w:val="002B5403"/>
    <w:rPr>
      <w:rFonts w:ascii="Univers LT Std 45 Light" w:hAnsi="Univers LT Std 45 Light"/>
      <w:sz w:val="14"/>
      <w:lang w:val="en-US" w:eastAsia="en-US" w:bidi="ar-SA"/>
    </w:rPr>
  </w:style>
  <w:style w:type="paragraph" w:customStyle="1" w:styleId="footerdocheader">
    <w:name w:val="footer doc header"/>
    <w:basedOn w:val="footertext"/>
    <w:link w:val="footerdocheaderChar"/>
    <w:rsid w:val="002B5403"/>
    <w:pPr>
      <w:tabs>
        <w:tab w:val="right" w:pos="11057"/>
      </w:tabs>
    </w:pPr>
    <w:rPr>
      <w:caps/>
    </w:rPr>
  </w:style>
  <w:style w:type="character" w:customStyle="1" w:styleId="footerdocheaderChar">
    <w:name w:val="footer doc header Char"/>
    <w:link w:val="footerdocheader"/>
    <w:rsid w:val="002B5403"/>
    <w:rPr>
      <w:rFonts w:ascii="Univers LT Std 45 Light" w:hAnsi="Univers LT Std 45 Light"/>
      <w:caps/>
      <w:sz w:val="14"/>
      <w:lang w:val="en-US" w:eastAsia="en-US" w:bidi="ar-SA"/>
    </w:rPr>
  </w:style>
  <w:style w:type="paragraph" w:customStyle="1" w:styleId="footerfieldlabel">
    <w:name w:val="footer field label"/>
    <w:basedOn w:val="footertext"/>
    <w:link w:val="footerfieldlabelChar"/>
    <w:rsid w:val="002B5403"/>
    <w:pPr>
      <w:tabs>
        <w:tab w:val="right" w:pos="11057"/>
      </w:tabs>
      <w:jc w:val="right"/>
    </w:pPr>
    <w:rPr>
      <w:b/>
    </w:rPr>
  </w:style>
  <w:style w:type="character" w:customStyle="1" w:styleId="footerfieldlabelChar">
    <w:name w:val="footer field label Char"/>
    <w:link w:val="footerfieldlabel"/>
    <w:rsid w:val="002B5403"/>
    <w:rPr>
      <w:rFonts w:ascii="Univers LT Std 45 Light" w:hAnsi="Univers LT Std 45 Light"/>
      <w:b/>
      <w:sz w:val="14"/>
      <w:lang w:val="en-US" w:eastAsia="en-US" w:bidi="ar-SA"/>
    </w:rPr>
  </w:style>
  <w:style w:type="character" w:styleId="PageNumber">
    <w:name w:val="page number"/>
    <w:basedOn w:val="DefaultParagraphFont"/>
    <w:rsid w:val="00310646"/>
  </w:style>
  <w:style w:type="paragraph" w:customStyle="1" w:styleId="Documentheading">
    <w:name w:val="Document heading"/>
    <w:basedOn w:val="Normal"/>
    <w:rsid w:val="00310646"/>
    <w:pPr>
      <w:ind w:left="227" w:right="227"/>
      <w:jc w:val="right"/>
    </w:pPr>
    <w:rPr>
      <w:rFonts w:ascii="Univers LT Std 45 Light" w:hAnsi="Univers LT Std 45 Light"/>
      <w:caps/>
      <w:color w:val="FFFFFF"/>
      <w:sz w:val="40"/>
    </w:rPr>
  </w:style>
  <w:style w:type="paragraph" w:customStyle="1" w:styleId="logoalign">
    <w:name w:val="logo align"/>
    <w:basedOn w:val="Normal"/>
    <w:rsid w:val="00310646"/>
    <w:pPr>
      <w:spacing w:after="170" w:line="288" w:lineRule="auto"/>
      <w:ind w:left="170"/>
    </w:pPr>
    <w:rPr>
      <w:rFonts w:ascii="Univers LT Std 45 Light" w:hAnsi="Univers LT Std 45 Light"/>
      <w:sz w:val="22"/>
    </w:rPr>
  </w:style>
  <w:style w:type="paragraph" w:customStyle="1" w:styleId="tabletext">
    <w:name w:val="table text"/>
    <w:basedOn w:val="Normal"/>
    <w:rsid w:val="00096B08"/>
    <w:pPr>
      <w:spacing w:before="60" w:line="288" w:lineRule="auto"/>
    </w:pPr>
    <w:rPr>
      <w:sz w:val="16"/>
      <w:szCs w:val="18"/>
    </w:rPr>
  </w:style>
  <w:style w:type="paragraph" w:customStyle="1" w:styleId="tableheadinglevel1">
    <w:name w:val="table heading level 1"/>
    <w:basedOn w:val="tabletext"/>
    <w:rsid w:val="00310646"/>
    <w:pPr>
      <w:jc w:val="center"/>
    </w:pPr>
    <w:rPr>
      <w:b/>
      <w:caps/>
      <w:color w:val="FFFFFF"/>
    </w:rPr>
  </w:style>
  <w:style w:type="paragraph" w:customStyle="1" w:styleId="tableheadinglevel2">
    <w:name w:val="table heading level 2"/>
    <w:basedOn w:val="tabletext"/>
    <w:rsid w:val="00310646"/>
    <w:rPr>
      <w:b/>
    </w:rPr>
  </w:style>
  <w:style w:type="character" w:styleId="Hyperlink">
    <w:name w:val="Hyperlink"/>
    <w:rsid w:val="00CD15A9"/>
    <w:rPr>
      <w:color w:val="0000FF"/>
      <w:u w:val="single"/>
    </w:rPr>
  </w:style>
  <w:style w:type="paragraph" w:styleId="BodyText">
    <w:name w:val="Body Text"/>
    <w:basedOn w:val="Normal"/>
    <w:link w:val="BodyTextChar"/>
    <w:rsid w:val="00714798"/>
    <w:pPr>
      <w:spacing w:after="120" w:line="288" w:lineRule="auto"/>
    </w:pPr>
    <w:rPr>
      <w:rFonts w:ascii="Univers LT Std 45 Light" w:hAnsi="Univers LT Std 45 Light"/>
      <w:sz w:val="22"/>
    </w:rPr>
  </w:style>
  <w:style w:type="character" w:customStyle="1" w:styleId="BodyTextChar">
    <w:name w:val="Body Text Char"/>
    <w:basedOn w:val="DefaultParagraphFont"/>
    <w:link w:val="BodyText"/>
    <w:rsid w:val="00714798"/>
    <w:rPr>
      <w:rFonts w:ascii="Univers LT Std 45 Light" w:hAnsi="Univers LT Std 45 Light"/>
      <w:sz w:val="22"/>
      <w:lang w:val="en-US" w:eastAsia="en-US"/>
    </w:rPr>
  </w:style>
  <w:style w:type="character" w:styleId="FollowedHyperlink">
    <w:name w:val="FollowedHyperlink"/>
    <w:basedOn w:val="DefaultParagraphFont"/>
    <w:rsid w:val="00612E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afety.unimelb.edu.au/safety-topics/management-systems/imple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fety.unimelb.edu.au/__data/assets/pdf_file/0009/4708161/health-and-safety-risk-management-requirements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afety.unimelb.edu.au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0256245-C71D-415B-9475-769D030F73B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an OHS risk register for offices</vt:lpstr>
    </vt:vector>
  </TitlesOfParts>
  <Company>The University of Melbourne</Company>
  <LinksUpToDate>false</LinksUpToDate>
  <CharactersWithSpaces>6822</CharactersWithSpaces>
  <SharedDoc>false</SharedDoc>
  <HLinks>
    <vt:vector size="12" baseType="variant"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http://safety.unimelb.edu.au/tools/risk/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http://www.pb.unimelb.edu.au/ehs/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an OHS risk register for offices</dc:title>
  <dc:subject/>
  <dc:creator>OHS and Injury Management</dc:creator>
  <cp:keywords/>
  <cp:lastModifiedBy>Weini Lim</cp:lastModifiedBy>
  <cp:revision>2</cp:revision>
  <cp:lastPrinted>2008-01-03T21:50:00Z</cp:lastPrinted>
  <dcterms:created xsi:type="dcterms:W3CDTF">2023-11-16T23:38:00Z</dcterms:created>
  <dcterms:modified xsi:type="dcterms:W3CDTF">2023-11-16T23:38:00Z</dcterms:modified>
</cp:coreProperties>
</file>