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Look w:val="04A0" w:firstRow="1" w:lastRow="0" w:firstColumn="1" w:lastColumn="0" w:noHBand="0" w:noVBand="1"/>
      </w:tblPr>
      <w:tblGrid>
        <w:gridCol w:w="1979"/>
        <w:gridCol w:w="9176"/>
      </w:tblGrid>
      <w:tr w:rsidR="001E155A" w14:paraId="79A0178A" w14:textId="77777777" w:rsidTr="00941CE5">
        <w:trPr>
          <w:trHeight w:val="1587"/>
        </w:trPr>
        <w:tc>
          <w:tcPr>
            <w:tcW w:w="1979" w:type="dxa"/>
            <w:tcBorders>
              <w:top w:val="single" w:sz="4" w:space="0" w:color="003469"/>
              <w:left w:val="single" w:sz="4" w:space="0" w:color="003469"/>
              <w:bottom w:val="single" w:sz="4" w:space="0" w:color="003469"/>
              <w:right w:val="single" w:sz="4" w:space="0" w:color="003469"/>
            </w:tcBorders>
            <w:shd w:val="clear" w:color="auto" w:fill="003469"/>
            <w:vAlign w:val="center"/>
          </w:tcPr>
          <w:p w14:paraId="1C6C5FBB" w14:textId="3DD4AB28" w:rsidR="001E155A" w:rsidRDefault="00C724CD" w:rsidP="00941CE5">
            <w:r w:rsidRPr="00C724CD">
              <w:t>health-and-safety-spill-management-requirements.docx</w:t>
            </w:r>
            <w:r w:rsidR="001E155A">
              <w:rPr>
                <w:noProof/>
              </w:rPr>
              <w:drawing>
                <wp:anchor distT="0" distB="0" distL="114300" distR="114300" simplePos="0" relativeHeight="251659264" behindDoc="0" locked="0" layoutInCell="1" allowOverlap="1" wp14:anchorId="159E780C" wp14:editId="7B702039">
                  <wp:simplePos x="0" y="0"/>
                  <wp:positionH relativeFrom="column">
                    <wp:posOffset>-66040</wp:posOffset>
                  </wp:positionH>
                  <wp:positionV relativeFrom="paragraph">
                    <wp:posOffset>-12065</wp:posOffset>
                  </wp:positionV>
                  <wp:extent cx="103378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artisticMarker/>
                                    </a14:imgEffect>
                                  </a14:imgLayer>
                                </a14:imgProps>
                              </a:ext>
                              <a:ext uri="{28A0092B-C50C-407E-A947-70E740481C1C}">
                                <a14:useLocalDpi xmlns:a14="http://schemas.microsoft.com/office/drawing/2010/main" val="0"/>
                              </a:ext>
                            </a:extLst>
                          </a:blip>
                          <a:stretch>
                            <a:fillRect/>
                          </a:stretch>
                        </pic:blipFill>
                        <pic:spPr>
                          <a:xfrm>
                            <a:off x="0" y="0"/>
                            <a:ext cx="1033780" cy="1009650"/>
                          </a:xfrm>
                          <a:prstGeom prst="rect">
                            <a:avLst/>
                          </a:prstGeom>
                          <a:solidFill>
                            <a:schemeClr val="tx2">
                              <a:lumMod val="75000"/>
                            </a:schemeClr>
                          </a:solidFill>
                        </pic:spPr>
                      </pic:pic>
                    </a:graphicData>
                  </a:graphic>
                  <wp14:sizeRelH relativeFrom="page">
                    <wp14:pctWidth>0</wp14:pctWidth>
                  </wp14:sizeRelH>
                  <wp14:sizeRelV relativeFrom="page">
                    <wp14:pctHeight>0</wp14:pctHeight>
                  </wp14:sizeRelV>
                </wp:anchor>
              </w:drawing>
            </w:r>
          </w:p>
        </w:tc>
        <w:tc>
          <w:tcPr>
            <w:tcW w:w="9176" w:type="dxa"/>
            <w:tcBorders>
              <w:top w:val="single" w:sz="4" w:space="0" w:color="003469"/>
              <w:left w:val="single" w:sz="4" w:space="0" w:color="003469"/>
              <w:bottom w:val="single" w:sz="4" w:space="0" w:color="003469"/>
              <w:right w:val="single" w:sz="4" w:space="0" w:color="003469"/>
            </w:tcBorders>
            <w:shd w:val="clear" w:color="auto" w:fill="003469"/>
            <w:vAlign w:val="center"/>
          </w:tcPr>
          <w:p w14:paraId="04A14AA6" w14:textId="77777777" w:rsidR="001E155A" w:rsidRDefault="001E155A" w:rsidP="00941CE5">
            <w:pPr>
              <w:pStyle w:val="Style1"/>
            </w:pPr>
            <w:r>
              <w:t>health &amp; safety</w:t>
            </w:r>
          </w:p>
          <w:p w14:paraId="3AB9813F" w14:textId="77777777" w:rsidR="001E155A" w:rsidRDefault="001E155A" w:rsidP="00941CE5">
            <w:pPr>
              <w:pStyle w:val="Style2"/>
            </w:pPr>
            <w:r>
              <w:t>spill management requirements</w:t>
            </w:r>
          </w:p>
        </w:tc>
      </w:tr>
    </w:tbl>
    <w:p w14:paraId="0DB3F82E" w14:textId="77777777" w:rsidR="001E155A" w:rsidRPr="001E155A" w:rsidRDefault="001E155A" w:rsidP="00220003">
      <w:pPr>
        <w:pStyle w:val="Heading1"/>
      </w:pPr>
      <w:r>
        <w:t>1.</w:t>
      </w:r>
      <w:r>
        <w:tab/>
      </w:r>
      <w:r w:rsidR="008A218E">
        <w:t>purpose</w:t>
      </w:r>
    </w:p>
    <w:p w14:paraId="4C44B7AE" w14:textId="77777777" w:rsidR="00B767FA" w:rsidRPr="007773F2" w:rsidRDefault="00B767FA" w:rsidP="00B767FA">
      <w:pPr>
        <w:spacing w:before="240"/>
      </w:pPr>
      <w:r w:rsidRPr="007773F2">
        <w:t xml:space="preserve">To establish the University of Melbourne's methodology for managing </w:t>
      </w:r>
      <w:r>
        <w:t>spills</w:t>
      </w:r>
      <w:r w:rsidRPr="007773F2">
        <w:t xml:space="preserve"> and associated risks that will ensure: </w:t>
      </w:r>
    </w:p>
    <w:p w14:paraId="0347662E" w14:textId="77777777" w:rsidR="00B767FA" w:rsidRPr="00D4006A" w:rsidRDefault="00B767FA"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7773F2">
        <w:t>t</w:t>
      </w:r>
      <w:r w:rsidRPr="00D4006A">
        <w:rPr>
          <w:rFonts w:asciiTheme="minorHAnsi" w:hAnsiTheme="minorHAnsi"/>
          <w:sz w:val="22"/>
          <w:szCs w:val="22"/>
        </w:rPr>
        <w:t xml:space="preserve">he health and safety of staff and students; </w:t>
      </w:r>
    </w:p>
    <w:p w14:paraId="6527AFA0" w14:textId="77777777" w:rsidR="00B767FA" w:rsidRPr="00D4006A" w:rsidRDefault="00B767FA"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D4006A">
        <w:rPr>
          <w:rFonts w:asciiTheme="minorHAnsi" w:hAnsiTheme="minorHAnsi"/>
          <w:sz w:val="22"/>
          <w:szCs w:val="22"/>
        </w:rPr>
        <w:t>the mitigation of adv</w:t>
      </w:r>
      <w:r>
        <w:rPr>
          <w:rFonts w:asciiTheme="minorHAnsi" w:hAnsiTheme="minorHAnsi"/>
          <w:sz w:val="22"/>
          <w:szCs w:val="22"/>
        </w:rPr>
        <w:t>erse environmental impacts; and</w:t>
      </w:r>
    </w:p>
    <w:p w14:paraId="3E8980D1" w14:textId="77777777" w:rsidR="00B767FA" w:rsidRDefault="00B767FA"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D4006A">
        <w:rPr>
          <w:rFonts w:asciiTheme="minorHAnsi" w:hAnsiTheme="minorHAnsi"/>
          <w:sz w:val="22"/>
          <w:szCs w:val="22"/>
        </w:rPr>
        <w:t>the compliance to regulatory requirements.</w:t>
      </w:r>
    </w:p>
    <w:p w14:paraId="3C1FADCA" w14:textId="77777777" w:rsidR="001E155A" w:rsidRPr="001E155A" w:rsidRDefault="008A218E" w:rsidP="00B767FA">
      <w:pPr>
        <w:pStyle w:val="Heading1"/>
      </w:pPr>
      <w:r>
        <w:t>2.</w:t>
      </w:r>
      <w:r>
        <w:tab/>
        <w:t>Scope</w:t>
      </w:r>
    </w:p>
    <w:p w14:paraId="265AEC63" w14:textId="77777777" w:rsidR="00B767FA" w:rsidRPr="00702C1E" w:rsidRDefault="00B767FA" w:rsidP="00B767FA">
      <w:pPr>
        <w:spacing w:before="240"/>
        <w:rPr>
          <w:lang w:val="en"/>
        </w:rPr>
      </w:pPr>
      <w:r w:rsidRPr="00702C1E">
        <w:rPr>
          <w:lang w:val="en"/>
        </w:rPr>
        <w:t xml:space="preserve">This </w:t>
      </w:r>
      <w:r>
        <w:rPr>
          <w:lang w:val="en"/>
        </w:rPr>
        <w:t>requirement</w:t>
      </w:r>
      <w:r w:rsidRPr="00702C1E">
        <w:rPr>
          <w:lang w:val="en"/>
        </w:rPr>
        <w:t xml:space="preserve"> applies to all staff, students, contractors and other personnel at workplaces under the management or control of the University of Melbourne.</w:t>
      </w:r>
    </w:p>
    <w:p w14:paraId="092B48D1" w14:textId="77777777" w:rsidR="00B02147" w:rsidRDefault="00B767FA" w:rsidP="001E155A">
      <w:r>
        <w:t>This requirement applies to all substances including but not limited to the following:</w:t>
      </w:r>
    </w:p>
    <w:p w14:paraId="5C952BE7" w14:textId="77777777" w:rsidR="00B767FA" w:rsidRPr="00B767FA" w:rsidRDefault="00B767FA"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B767FA">
        <w:rPr>
          <w:rFonts w:asciiTheme="minorHAnsi" w:hAnsiTheme="minorHAnsi"/>
          <w:sz w:val="22"/>
          <w:szCs w:val="22"/>
        </w:rPr>
        <w:t>chemicals</w:t>
      </w:r>
      <w:r w:rsidR="000F3BE5">
        <w:rPr>
          <w:rFonts w:asciiTheme="minorHAnsi" w:hAnsiTheme="minorHAnsi"/>
          <w:sz w:val="22"/>
          <w:szCs w:val="22"/>
        </w:rPr>
        <w:t>;</w:t>
      </w:r>
    </w:p>
    <w:p w14:paraId="61C21CAD" w14:textId="77777777" w:rsidR="00B767FA" w:rsidRDefault="00B767FA"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B767FA">
        <w:rPr>
          <w:rFonts w:asciiTheme="minorHAnsi" w:hAnsiTheme="minorHAnsi"/>
          <w:sz w:val="22"/>
          <w:szCs w:val="22"/>
        </w:rPr>
        <w:t>biologicals</w:t>
      </w:r>
      <w:r w:rsidR="000F3BE5">
        <w:rPr>
          <w:rFonts w:asciiTheme="minorHAnsi" w:hAnsiTheme="minorHAnsi"/>
          <w:sz w:val="22"/>
          <w:szCs w:val="22"/>
        </w:rPr>
        <w:t>;</w:t>
      </w:r>
    </w:p>
    <w:p w14:paraId="6ED2F7EE" w14:textId="77777777" w:rsidR="00B767FA" w:rsidRDefault="00CF695D"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ionising open source</w:t>
      </w:r>
      <w:r w:rsidR="00B767FA">
        <w:rPr>
          <w:rFonts w:asciiTheme="minorHAnsi" w:hAnsiTheme="minorHAnsi"/>
          <w:sz w:val="22"/>
          <w:szCs w:val="22"/>
        </w:rPr>
        <w:t>s</w:t>
      </w:r>
      <w:r w:rsidR="000F3BE5">
        <w:rPr>
          <w:rFonts w:asciiTheme="minorHAnsi" w:hAnsiTheme="minorHAnsi"/>
          <w:sz w:val="22"/>
          <w:szCs w:val="22"/>
        </w:rPr>
        <w:t>; and</w:t>
      </w:r>
    </w:p>
    <w:p w14:paraId="2E7E528F" w14:textId="77777777" w:rsidR="00B767FA" w:rsidRPr="00B767FA" w:rsidRDefault="00B767FA" w:rsidP="00B767F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hazardous waste</w:t>
      </w:r>
      <w:r w:rsidR="000F3BE5">
        <w:rPr>
          <w:rFonts w:asciiTheme="minorHAnsi" w:hAnsiTheme="minorHAnsi"/>
          <w:sz w:val="22"/>
          <w:szCs w:val="22"/>
        </w:rPr>
        <w:t>.</w:t>
      </w:r>
    </w:p>
    <w:p w14:paraId="3F31FD68" w14:textId="77777777" w:rsidR="008A218E" w:rsidRDefault="008A218E" w:rsidP="00220003">
      <w:pPr>
        <w:pStyle w:val="Heading1"/>
      </w:pPr>
      <w:r>
        <w:t>3.</w:t>
      </w:r>
      <w:r>
        <w:tab/>
        <w:t>Definitions</w:t>
      </w:r>
    </w:p>
    <w:p w14:paraId="7BD3673A" w14:textId="77777777" w:rsidR="000F14DB" w:rsidRDefault="000F14DB" w:rsidP="001E155A">
      <w:pPr>
        <w:rPr>
          <w:b/>
        </w:rPr>
      </w:pPr>
      <w:r>
        <w:rPr>
          <w:b/>
        </w:rPr>
        <w:t>Biological:</w:t>
      </w:r>
    </w:p>
    <w:p w14:paraId="782C2436" w14:textId="77777777" w:rsidR="000F14DB" w:rsidRPr="000F14DB" w:rsidRDefault="000F14DB" w:rsidP="001E155A">
      <w:r>
        <w:t>For the purpose of this requirement a biological as included in the scope of S/NZS 2243.3: Safety in laboratories – Microbiological safety and containment.</w:t>
      </w:r>
      <w:r w:rsidR="00332F58">
        <w:t xml:space="preserve">  It also includes animal and human body fluids and waste products.</w:t>
      </w:r>
    </w:p>
    <w:p w14:paraId="50762D78" w14:textId="77777777" w:rsidR="00CF695D" w:rsidRDefault="00CF695D" w:rsidP="001E155A">
      <w:pPr>
        <w:rPr>
          <w:b/>
        </w:rPr>
      </w:pPr>
      <w:r>
        <w:rPr>
          <w:b/>
        </w:rPr>
        <w:t>Chemical:</w:t>
      </w:r>
    </w:p>
    <w:p w14:paraId="60BB2630" w14:textId="4FF20B20" w:rsidR="00CF695D" w:rsidRPr="00CF695D" w:rsidRDefault="00CF695D" w:rsidP="000F14DB">
      <w:r w:rsidRPr="00CF695D">
        <w:t>For the pur</w:t>
      </w:r>
      <w:r>
        <w:t>p</w:t>
      </w:r>
      <w:r w:rsidRPr="00CF695D">
        <w:t xml:space="preserve">ose of this </w:t>
      </w:r>
      <w:r>
        <w:t xml:space="preserve">requirement a chemical as included in the scope of the </w:t>
      </w:r>
      <w:hyperlink r:id="rId10" w:history="1">
        <w:r w:rsidRPr="00CF695D">
          <w:rPr>
            <w:rStyle w:val="Hyperlink"/>
          </w:rPr>
          <w:t>Health &amp; Safety: Chemical requirements</w:t>
        </w:r>
      </w:hyperlink>
    </w:p>
    <w:p w14:paraId="06B4F83A" w14:textId="77777777" w:rsidR="00CF695D" w:rsidRDefault="00CF695D" w:rsidP="001E155A">
      <w:pPr>
        <w:rPr>
          <w:b/>
        </w:rPr>
      </w:pPr>
      <w:r>
        <w:rPr>
          <w:b/>
        </w:rPr>
        <w:t>Ionising open sources:</w:t>
      </w:r>
    </w:p>
    <w:p w14:paraId="67A3750D" w14:textId="353FE006" w:rsidR="00CF695D" w:rsidRDefault="00CF695D" w:rsidP="000F14DB">
      <w:r w:rsidRPr="00CF695D">
        <w:t xml:space="preserve">For the purpose of this requirement an </w:t>
      </w:r>
      <w:r w:rsidR="000F14DB" w:rsidRPr="00CF695D">
        <w:t>ionising</w:t>
      </w:r>
      <w:r w:rsidRPr="00CF695D">
        <w:t xml:space="preserve"> open source as </w:t>
      </w:r>
      <w:r w:rsidR="000F14DB" w:rsidRPr="00CF695D">
        <w:t>described</w:t>
      </w:r>
      <w:r w:rsidRPr="00CF695D">
        <w:t xml:space="preserve"> in the </w:t>
      </w:r>
      <w:hyperlink r:id="rId11" w:tgtFrame="_blank" w:tooltip="Chemical management guidelines" w:history="1">
        <w:r>
          <w:rPr>
            <w:rStyle w:val="Hyperlink"/>
          </w:rPr>
          <w:t>Chemical management guidelines</w:t>
        </w:r>
      </w:hyperlink>
      <w:r w:rsidRPr="00CF695D">
        <w:t xml:space="preserve"> and the </w:t>
      </w:r>
      <w:hyperlink r:id="rId12" w:history="1">
        <w:r w:rsidRPr="0029116C">
          <w:rPr>
            <w:rStyle w:val="Hyperlink"/>
          </w:rPr>
          <w:t>Ionising radiation man</w:t>
        </w:r>
        <w:r w:rsidRPr="0029116C">
          <w:rPr>
            <w:rStyle w:val="Hyperlink"/>
          </w:rPr>
          <w:t>agement guide</w:t>
        </w:r>
        <w:r w:rsidRPr="0029116C">
          <w:rPr>
            <w:rStyle w:val="Hyperlink"/>
          </w:rPr>
          <w:t>lines</w:t>
        </w:r>
      </w:hyperlink>
      <w:r>
        <w:t xml:space="preserve"> </w:t>
      </w:r>
    </w:p>
    <w:p w14:paraId="04CE6578" w14:textId="77777777" w:rsidR="000F14DB" w:rsidRPr="000F14DB" w:rsidRDefault="000F14DB" w:rsidP="000F14DB">
      <w:pPr>
        <w:rPr>
          <w:b/>
        </w:rPr>
      </w:pPr>
      <w:r w:rsidRPr="000F14DB">
        <w:rPr>
          <w:b/>
        </w:rPr>
        <w:t>Other:</w:t>
      </w:r>
    </w:p>
    <w:p w14:paraId="7D1755BA" w14:textId="77777777" w:rsidR="000F14DB" w:rsidRPr="00CF695D" w:rsidRDefault="000F14DB" w:rsidP="000F14DB">
      <w:r>
        <w:t xml:space="preserve">For the purpose of this requirement, other refers to </w:t>
      </w:r>
      <w:r w:rsidR="00332F58">
        <w:t>a substance</w:t>
      </w:r>
      <w:r>
        <w:t xml:space="preserve"> that could result in adverse outcomes if there was a spill/loss of control.  </w:t>
      </w:r>
      <w:r w:rsidR="00332F58">
        <w:t xml:space="preserve">These include but are not limited to viruses and materials associated with gene technology, such as regulated by the </w:t>
      </w:r>
      <w:r w:rsidR="00332F58" w:rsidRPr="00332F58">
        <w:rPr>
          <w:i/>
        </w:rPr>
        <w:t>Gene Technology Act 2000</w:t>
      </w:r>
      <w:r w:rsidR="00332F58">
        <w:t xml:space="preserve"> (Cth).</w:t>
      </w:r>
    </w:p>
    <w:p w14:paraId="0340B610" w14:textId="77777777" w:rsidR="00332F58" w:rsidRDefault="00332F58">
      <w:pPr>
        <w:spacing w:after="0" w:line="240" w:lineRule="auto"/>
        <w:rPr>
          <w:b/>
        </w:rPr>
      </w:pPr>
      <w:r>
        <w:rPr>
          <w:b/>
        </w:rPr>
        <w:br w:type="page"/>
      </w:r>
    </w:p>
    <w:p w14:paraId="64953018" w14:textId="77777777" w:rsidR="008A218E" w:rsidRPr="001F33CC" w:rsidRDefault="000F3BE5" w:rsidP="001E155A">
      <w:pPr>
        <w:rPr>
          <w:b/>
        </w:rPr>
      </w:pPr>
      <w:r w:rsidRPr="001F33CC">
        <w:rPr>
          <w:b/>
        </w:rPr>
        <w:lastRenderedPageBreak/>
        <w:t>Substance</w:t>
      </w:r>
      <w:r w:rsidR="001F33CC">
        <w:rPr>
          <w:b/>
        </w:rPr>
        <w:t>:</w:t>
      </w:r>
    </w:p>
    <w:p w14:paraId="4A62EFF9" w14:textId="77777777" w:rsidR="001F33CC" w:rsidRDefault="000F3BE5" w:rsidP="001E155A">
      <w:r>
        <w:t xml:space="preserve">For the purpose of this </w:t>
      </w:r>
      <w:r w:rsidR="00CF695D">
        <w:t>requirement</w:t>
      </w:r>
      <w:r>
        <w:t xml:space="preserve">, a substance includes any chemical, biological, radiological, hazardous waste </w:t>
      </w:r>
      <w:r w:rsidR="008555B6">
        <w:t>(</w:t>
      </w:r>
      <w:r>
        <w:t>or other</w:t>
      </w:r>
      <w:r w:rsidR="008555B6">
        <w:t>)</w:t>
      </w:r>
      <w:r>
        <w:t xml:space="preserve"> that if there was a spil</w:t>
      </w:r>
      <w:r w:rsidR="001F33CC">
        <w:t>l</w:t>
      </w:r>
      <w:r>
        <w:t>/loss of control it could</w:t>
      </w:r>
      <w:r w:rsidR="001F33CC">
        <w:t xml:space="preserve"> adversely affect:</w:t>
      </w:r>
    </w:p>
    <w:p w14:paraId="509CF979" w14:textId="77777777" w:rsidR="000F3BE5" w:rsidRDefault="000F3BE5" w:rsidP="001F33CC">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1F33CC">
        <w:rPr>
          <w:rFonts w:asciiTheme="minorHAnsi" w:hAnsiTheme="minorHAnsi"/>
          <w:sz w:val="22"/>
          <w:szCs w:val="22"/>
        </w:rPr>
        <w:t>the health and safety</w:t>
      </w:r>
      <w:r w:rsidR="001F33CC">
        <w:rPr>
          <w:rFonts w:asciiTheme="minorHAnsi" w:hAnsiTheme="minorHAnsi"/>
          <w:sz w:val="22"/>
          <w:szCs w:val="22"/>
        </w:rPr>
        <w:t xml:space="preserve"> of staff and students; and</w:t>
      </w:r>
    </w:p>
    <w:p w14:paraId="311B84E1" w14:textId="77777777" w:rsidR="008A218E" w:rsidRPr="001F33CC" w:rsidRDefault="001F33CC" w:rsidP="001E155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the environment</w:t>
      </w:r>
    </w:p>
    <w:p w14:paraId="07C57120" w14:textId="77777777" w:rsidR="008A218E" w:rsidRDefault="008A218E" w:rsidP="00220003">
      <w:pPr>
        <w:pStyle w:val="Heading1"/>
      </w:pPr>
      <w:r>
        <w:t>4.</w:t>
      </w:r>
      <w:r>
        <w:tab/>
        <w:t>Requirements</w:t>
      </w:r>
    </w:p>
    <w:p w14:paraId="3C9193BE" w14:textId="77777777" w:rsidR="00B767FA" w:rsidRDefault="00A201E5" w:rsidP="003D32FD">
      <w:pPr>
        <w:pStyle w:val="Heading2"/>
        <w:spacing w:before="0"/>
      </w:pPr>
      <w:r>
        <w:t>4.1</w:t>
      </w:r>
      <w:r>
        <w:tab/>
      </w:r>
      <w:r w:rsidR="00B767FA">
        <w:t>Prevention and minimisation</w:t>
      </w:r>
    </w:p>
    <w:p w14:paraId="37DDC5ED" w14:textId="77777777" w:rsidR="00B767FA" w:rsidRDefault="00B767FA" w:rsidP="00B767FA">
      <w:pPr>
        <w:spacing w:before="240"/>
      </w:pPr>
      <w:r w:rsidRPr="001B6405">
        <w:t xml:space="preserve">The Head of </w:t>
      </w:r>
      <w:r w:rsidR="008555B6">
        <w:t>School</w:t>
      </w:r>
      <w:r w:rsidRPr="001B6405">
        <w:t>/</w:t>
      </w:r>
      <w:r w:rsidR="008555B6">
        <w:t>Division</w:t>
      </w:r>
      <w:r w:rsidRPr="001B6405">
        <w:t xml:space="preserve"> must ensure</w:t>
      </w:r>
      <w:r>
        <w:t xml:space="preserve"> that systems are in place to prevent</w:t>
      </w:r>
      <w:r w:rsidR="000F3BE5">
        <w:t xml:space="preserve"> spills</w:t>
      </w:r>
      <w:r>
        <w:t>, and where a spill occurs, minimise any adverse outcomes.</w:t>
      </w:r>
    </w:p>
    <w:p w14:paraId="51FEF022" w14:textId="77777777" w:rsidR="000F3BE5" w:rsidRDefault="000F3BE5" w:rsidP="000F3BE5">
      <w:r>
        <w:t>The manager/supervisor must ensure that:</w:t>
      </w:r>
    </w:p>
    <w:p w14:paraId="3C4F3CCA" w14:textId="77777777" w:rsidR="000F3BE5" w:rsidRDefault="000F3BE5" w:rsidP="000F3BE5">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risk assessments </w:t>
      </w:r>
      <w:r w:rsidR="001F33CC">
        <w:rPr>
          <w:rFonts w:asciiTheme="minorHAnsi" w:hAnsiTheme="minorHAnsi"/>
          <w:sz w:val="22"/>
          <w:szCs w:val="22"/>
        </w:rPr>
        <w:t xml:space="preserve">take into account for the storage, handling, use </w:t>
      </w:r>
      <w:r>
        <w:rPr>
          <w:rFonts w:asciiTheme="minorHAnsi" w:hAnsiTheme="minorHAnsi"/>
          <w:sz w:val="22"/>
          <w:szCs w:val="22"/>
        </w:rPr>
        <w:t xml:space="preserve">and </w:t>
      </w:r>
      <w:r w:rsidR="001F33CC">
        <w:rPr>
          <w:rFonts w:asciiTheme="minorHAnsi" w:hAnsiTheme="minorHAnsi"/>
          <w:sz w:val="22"/>
          <w:szCs w:val="22"/>
        </w:rPr>
        <w:t>disposal of substances;</w:t>
      </w:r>
    </w:p>
    <w:p w14:paraId="46DBF590" w14:textId="77777777" w:rsidR="001F33CC" w:rsidRDefault="001F33CC" w:rsidP="000F3BE5">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standard operating procedures are available for the storage, handling, use and disposal of substances;</w:t>
      </w:r>
    </w:p>
    <w:p w14:paraId="7F686987" w14:textId="77777777" w:rsidR="001F33CC" w:rsidRDefault="001F33CC" w:rsidP="000F3BE5">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staff and students are adequately trained (including induction and local area instruction) for the storage, handling, use and disposal of substances;</w:t>
      </w:r>
    </w:p>
    <w:p w14:paraId="63A5668A" w14:textId="77777777" w:rsidR="000F3BE5" w:rsidRDefault="001F33CC" w:rsidP="000F3BE5">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suitable</w:t>
      </w:r>
      <w:r w:rsidR="000F3BE5">
        <w:rPr>
          <w:rFonts w:asciiTheme="minorHAnsi" w:hAnsiTheme="minorHAnsi"/>
          <w:sz w:val="22"/>
          <w:szCs w:val="22"/>
        </w:rPr>
        <w:t xml:space="preserve"> storage</w:t>
      </w:r>
      <w:r>
        <w:rPr>
          <w:rFonts w:asciiTheme="minorHAnsi" w:hAnsiTheme="minorHAnsi"/>
          <w:sz w:val="22"/>
          <w:szCs w:val="22"/>
        </w:rPr>
        <w:t xml:space="preserve"> arrangements are maintained for all substances;</w:t>
      </w:r>
    </w:p>
    <w:p w14:paraId="5B5B97C5" w14:textId="77777777" w:rsidR="001F33CC" w:rsidRDefault="001F33CC" w:rsidP="000F3BE5">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suitable waste disposal pathways are available for all substances; and</w:t>
      </w:r>
    </w:p>
    <w:p w14:paraId="63DA4006" w14:textId="77777777" w:rsidR="001F33CC" w:rsidRDefault="001F33CC" w:rsidP="000F3BE5">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in the event of a spill, that local emergency procedures, including spill kits are in place.</w:t>
      </w:r>
    </w:p>
    <w:p w14:paraId="46D70FC1" w14:textId="5FDE8E61" w:rsidR="008555B6" w:rsidRPr="00B02147" w:rsidRDefault="008555B6" w:rsidP="008555B6">
      <w:pPr>
        <w:spacing w:before="240"/>
      </w:pPr>
      <w:r>
        <w:t>The Director, Health &amp; Safety shall provide and publish</w:t>
      </w:r>
      <w:r w:rsidRPr="00B02147">
        <w:t xml:space="preserve"> information </w:t>
      </w:r>
      <w:r>
        <w:t xml:space="preserve">on the prevention and minimisation of spills. </w:t>
      </w:r>
      <w:r w:rsidRPr="00B02147">
        <w:t xml:space="preserve">to Departments and Faculties on the legal requirements for spill control and waste disposal, and advice on disposal methods or spilled materials and disposal contractors. </w:t>
      </w:r>
    </w:p>
    <w:p w14:paraId="43843654" w14:textId="77777777" w:rsidR="00220003" w:rsidRPr="00A201E5" w:rsidRDefault="00AD0F87" w:rsidP="00AD0F87">
      <w:pPr>
        <w:pStyle w:val="Heading2"/>
        <w:spacing w:before="240"/>
      </w:pPr>
      <w:r>
        <w:t>4.2</w:t>
      </w:r>
      <w:r>
        <w:tab/>
        <w:t>Risk Assessments</w:t>
      </w:r>
      <w:r w:rsidR="005A2CEA">
        <w:t xml:space="preserve"> and standard operating procedures</w:t>
      </w:r>
    </w:p>
    <w:p w14:paraId="42251ED7" w14:textId="77777777" w:rsidR="00AD0F87" w:rsidRDefault="00AD0F87" w:rsidP="00AD0F87">
      <w:pPr>
        <w:spacing w:before="240"/>
      </w:pPr>
      <w:r>
        <w:t>The manager/supervisor shall ensure local area risk assessments</w:t>
      </w:r>
      <w:r w:rsidR="005A2CEA">
        <w:t xml:space="preserve"> and standard operating procedures</w:t>
      </w:r>
      <w:r>
        <w:t xml:space="preserve"> are in place and available taking into account:</w:t>
      </w:r>
    </w:p>
    <w:p w14:paraId="251CEE48" w14:textId="77777777" w:rsidR="00AD0F87" w:rsidRPr="00AD0F87" w:rsidRDefault="00AD0F87" w:rsidP="00AD0F87">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t</w:t>
      </w:r>
      <w:r w:rsidRPr="00AD0F87">
        <w:rPr>
          <w:rFonts w:asciiTheme="minorHAnsi" w:hAnsiTheme="minorHAnsi"/>
          <w:sz w:val="22"/>
          <w:szCs w:val="22"/>
        </w:rPr>
        <w:t xml:space="preserve">he nature of the </w:t>
      </w:r>
      <w:r>
        <w:rPr>
          <w:rFonts w:asciiTheme="minorHAnsi" w:hAnsiTheme="minorHAnsi"/>
          <w:sz w:val="22"/>
          <w:szCs w:val="22"/>
        </w:rPr>
        <w:t>substance and possible outcome in the event of a spill;</w:t>
      </w:r>
    </w:p>
    <w:p w14:paraId="61EE0144" w14:textId="77777777" w:rsidR="00AD0F87" w:rsidRPr="00AD0F87" w:rsidRDefault="00AD0F87" w:rsidP="00AD0F87">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AD0F87">
        <w:rPr>
          <w:rFonts w:asciiTheme="minorHAnsi" w:hAnsiTheme="minorHAnsi"/>
          <w:sz w:val="22"/>
          <w:szCs w:val="22"/>
        </w:rPr>
        <w:t xml:space="preserve">the quantity </w:t>
      </w:r>
      <w:r>
        <w:rPr>
          <w:rFonts w:asciiTheme="minorHAnsi" w:hAnsiTheme="minorHAnsi"/>
          <w:sz w:val="22"/>
          <w:szCs w:val="22"/>
        </w:rPr>
        <w:t>of substance that could be spilt; and</w:t>
      </w:r>
    </w:p>
    <w:p w14:paraId="02B387FD" w14:textId="77777777" w:rsidR="00AD0F87" w:rsidRPr="00AD0F87" w:rsidRDefault="00AD0F87" w:rsidP="00AD0F87">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AD0F87">
        <w:rPr>
          <w:rFonts w:asciiTheme="minorHAnsi" w:hAnsiTheme="minorHAnsi"/>
          <w:sz w:val="22"/>
          <w:szCs w:val="22"/>
        </w:rPr>
        <w:t xml:space="preserve">the location of </w:t>
      </w:r>
      <w:r>
        <w:rPr>
          <w:rFonts w:asciiTheme="minorHAnsi" w:hAnsiTheme="minorHAnsi"/>
          <w:sz w:val="22"/>
          <w:szCs w:val="22"/>
        </w:rPr>
        <w:t>substances in the event of a</w:t>
      </w:r>
      <w:r w:rsidRPr="00AD0F87">
        <w:rPr>
          <w:rFonts w:asciiTheme="minorHAnsi" w:hAnsiTheme="minorHAnsi"/>
          <w:sz w:val="22"/>
          <w:szCs w:val="22"/>
        </w:rPr>
        <w:t xml:space="preserve"> spill (difficult a</w:t>
      </w:r>
      <w:r>
        <w:rPr>
          <w:rFonts w:asciiTheme="minorHAnsi" w:hAnsiTheme="minorHAnsi"/>
          <w:sz w:val="22"/>
          <w:szCs w:val="22"/>
        </w:rPr>
        <w:t>ccess, public site/bunded area)</w:t>
      </w:r>
    </w:p>
    <w:p w14:paraId="3C74B92C" w14:textId="77777777" w:rsidR="00220003" w:rsidRPr="00B02147" w:rsidRDefault="00220003" w:rsidP="00507EAB">
      <w:pPr>
        <w:spacing w:before="240"/>
      </w:pPr>
      <w:r w:rsidRPr="00B02147">
        <w:t xml:space="preserve">When evaluating risks associated with spills, </w:t>
      </w:r>
      <w:r>
        <w:t>the following must be considered</w:t>
      </w:r>
      <w:r w:rsidRPr="00B02147">
        <w:t>:</w:t>
      </w:r>
    </w:p>
    <w:p w14:paraId="64F092AB" w14:textId="77777777" w:rsidR="00220003" w:rsidRPr="00507EAB" w:rsidRDefault="00220003" w:rsidP="00507EAB">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507EAB">
        <w:rPr>
          <w:rFonts w:asciiTheme="minorHAnsi" w:hAnsiTheme="minorHAnsi"/>
          <w:sz w:val="22"/>
          <w:szCs w:val="22"/>
        </w:rPr>
        <w:t>Is special training re</w:t>
      </w:r>
      <w:r w:rsidR="00507EAB">
        <w:rPr>
          <w:rFonts w:asciiTheme="minorHAnsi" w:hAnsiTheme="minorHAnsi"/>
          <w:sz w:val="22"/>
          <w:szCs w:val="22"/>
        </w:rPr>
        <w:t>quired to handle the situation?</w:t>
      </w:r>
    </w:p>
    <w:p w14:paraId="7C37981D" w14:textId="77777777" w:rsidR="00220003" w:rsidRPr="00507EAB" w:rsidRDefault="00220003" w:rsidP="00507EAB">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507EAB">
        <w:rPr>
          <w:rFonts w:asciiTheme="minorHAnsi" w:hAnsiTheme="minorHAnsi"/>
          <w:sz w:val="22"/>
          <w:szCs w:val="22"/>
        </w:rPr>
        <w:t>Is special equipment required to clean up the spill (</w:t>
      </w:r>
      <w:r w:rsidR="00507EAB">
        <w:rPr>
          <w:rFonts w:asciiTheme="minorHAnsi" w:hAnsiTheme="minorHAnsi"/>
          <w:sz w:val="22"/>
          <w:szCs w:val="22"/>
        </w:rPr>
        <w:t>such self-contained breathing apparatus</w:t>
      </w:r>
      <w:r w:rsidRPr="00507EAB">
        <w:rPr>
          <w:rFonts w:asciiTheme="minorHAnsi" w:hAnsiTheme="minorHAnsi"/>
          <w:sz w:val="22"/>
          <w:szCs w:val="22"/>
        </w:rPr>
        <w:t>)?</w:t>
      </w:r>
    </w:p>
    <w:p w14:paraId="7BD3833F" w14:textId="77777777" w:rsidR="00220003" w:rsidRPr="00507EAB" w:rsidRDefault="00220003" w:rsidP="00507EAB">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507EAB">
        <w:rPr>
          <w:rFonts w:asciiTheme="minorHAnsi" w:hAnsiTheme="minorHAnsi"/>
          <w:sz w:val="22"/>
          <w:szCs w:val="22"/>
        </w:rPr>
        <w:t>Are special procedures required to clean up the spill (</w:t>
      </w:r>
      <w:r w:rsidR="00507EAB">
        <w:rPr>
          <w:rFonts w:asciiTheme="minorHAnsi" w:hAnsiTheme="minorHAnsi"/>
          <w:sz w:val="22"/>
          <w:szCs w:val="22"/>
        </w:rPr>
        <w:t>such as</w:t>
      </w:r>
      <w:r w:rsidRPr="00507EAB">
        <w:rPr>
          <w:rFonts w:asciiTheme="minorHAnsi" w:hAnsiTheme="minorHAnsi"/>
          <w:sz w:val="22"/>
          <w:szCs w:val="22"/>
        </w:rPr>
        <w:t xml:space="preserve"> pumps, </w:t>
      </w:r>
      <w:r w:rsidR="00507EAB">
        <w:rPr>
          <w:rFonts w:asciiTheme="minorHAnsi" w:hAnsiTheme="minorHAnsi"/>
          <w:sz w:val="22"/>
          <w:szCs w:val="22"/>
        </w:rPr>
        <w:t>portable extraction hoses</w:t>
      </w:r>
      <w:r w:rsidRPr="00507EAB">
        <w:rPr>
          <w:rFonts w:asciiTheme="minorHAnsi" w:hAnsiTheme="minorHAnsi"/>
          <w:sz w:val="22"/>
          <w:szCs w:val="22"/>
        </w:rPr>
        <w:t>)?</w:t>
      </w:r>
    </w:p>
    <w:p w14:paraId="7C5F0BAF" w14:textId="77777777" w:rsidR="00220003" w:rsidRDefault="00507EAB" w:rsidP="00507EAB">
      <w:pPr>
        <w:spacing w:before="240"/>
      </w:pPr>
      <w:r>
        <w:t>Spills can be considered a high to extreme risk where any of the above three points are required.</w:t>
      </w:r>
    </w:p>
    <w:p w14:paraId="655025E5" w14:textId="77777777" w:rsidR="00507EAB" w:rsidRPr="00B02147" w:rsidRDefault="00507EAB" w:rsidP="00507EAB">
      <w:pPr>
        <w:spacing w:before="240"/>
      </w:pPr>
      <w:r w:rsidRPr="00B02147">
        <w:lastRenderedPageBreak/>
        <w:t xml:space="preserve">Generally spills of less than 1 litre of </w:t>
      </w:r>
      <w:r>
        <w:t>substance</w:t>
      </w:r>
      <w:r w:rsidRPr="00B02147">
        <w:t xml:space="preserve"> can be considered </w:t>
      </w:r>
      <w:r>
        <w:t>low risk.  Exceptions may be if the substance is highly toxic or reactive.</w:t>
      </w:r>
    </w:p>
    <w:p w14:paraId="4ECA9CA1" w14:textId="77777777" w:rsidR="00220003" w:rsidRPr="00B02147" w:rsidRDefault="00A201E5" w:rsidP="005A2CEA">
      <w:pPr>
        <w:pStyle w:val="Heading2"/>
        <w:rPr>
          <w:rFonts w:eastAsia="Times New Roman"/>
        </w:rPr>
      </w:pPr>
      <w:r>
        <w:rPr>
          <w:rFonts w:eastAsia="Times New Roman"/>
        </w:rPr>
        <w:t>4.2</w:t>
      </w:r>
      <w:r>
        <w:rPr>
          <w:rFonts w:eastAsia="Times New Roman"/>
        </w:rPr>
        <w:tab/>
      </w:r>
      <w:r w:rsidR="005A2CEA">
        <w:rPr>
          <w:rFonts w:eastAsia="Times New Roman"/>
        </w:rPr>
        <w:t>Emergency preparedness</w:t>
      </w:r>
    </w:p>
    <w:p w14:paraId="4DE7AF8B" w14:textId="77777777" w:rsidR="00220003" w:rsidRPr="00B02147" w:rsidRDefault="00220003" w:rsidP="005A2CEA">
      <w:pPr>
        <w:spacing w:before="240"/>
      </w:pPr>
      <w:r>
        <w:t>The manager/supervisor must e</w:t>
      </w:r>
      <w:r w:rsidRPr="00B02147">
        <w:t>nsure th</w:t>
      </w:r>
      <w:r w:rsidR="005A2CEA">
        <w:t>at</w:t>
      </w:r>
      <w:r w:rsidRPr="00B02147">
        <w:t>:</w:t>
      </w:r>
    </w:p>
    <w:p w14:paraId="4C464648" w14:textId="77777777" w:rsidR="00220003" w:rsidRDefault="005A2CEA" w:rsidP="005A2CE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local area emergency procedures are available and understood by all staff and students using substances; </w:t>
      </w:r>
    </w:p>
    <w:p w14:paraId="3F030961" w14:textId="77777777" w:rsidR="005A2CEA" w:rsidRDefault="005A2CEA" w:rsidP="005A2CE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spill kits are appropriate for the substance type and the possible amount in the event of a spill;</w:t>
      </w:r>
      <w:r w:rsidRPr="005A2CEA">
        <w:rPr>
          <w:rFonts w:asciiTheme="minorHAnsi" w:hAnsiTheme="minorHAnsi"/>
          <w:sz w:val="22"/>
          <w:szCs w:val="22"/>
        </w:rPr>
        <w:t xml:space="preserve"> </w:t>
      </w:r>
      <w:r>
        <w:rPr>
          <w:rFonts w:asciiTheme="minorHAnsi" w:hAnsiTheme="minorHAnsi"/>
          <w:sz w:val="22"/>
          <w:szCs w:val="22"/>
        </w:rPr>
        <w:t>and</w:t>
      </w:r>
    </w:p>
    <w:p w14:paraId="728BA42E" w14:textId="77777777" w:rsidR="005A2CEA" w:rsidRDefault="005A2CEA" w:rsidP="005A2CEA">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personal protective equipment is appropriate for the substance type.</w:t>
      </w:r>
    </w:p>
    <w:p w14:paraId="72265FA9" w14:textId="701C2E5B" w:rsidR="005A2CEA" w:rsidRDefault="005A2CEA" w:rsidP="005A2CEA">
      <w:pPr>
        <w:pStyle w:val="policyplain"/>
        <w:shd w:val="clear" w:color="auto" w:fill="FFFFFF"/>
        <w:spacing w:before="240" w:beforeAutospacing="0" w:after="120" w:afterAutospacing="0" w:line="288" w:lineRule="auto"/>
        <w:rPr>
          <w:rFonts w:asciiTheme="minorHAnsi" w:hAnsiTheme="minorHAnsi"/>
          <w:sz w:val="22"/>
          <w:szCs w:val="22"/>
        </w:rPr>
      </w:pPr>
      <w:r>
        <w:rPr>
          <w:rFonts w:asciiTheme="minorHAnsi" w:hAnsiTheme="minorHAnsi"/>
          <w:sz w:val="22"/>
          <w:szCs w:val="22"/>
        </w:rPr>
        <w:t xml:space="preserve">For more information on spill kits, including types of spill kits and materials in spill kits and personal protective equipment refer to: </w:t>
      </w:r>
      <w:hyperlink r:id="rId13" w:history="1">
        <w:r w:rsidRPr="005A2CEA">
          <w:rPr>
            <w:rStyle w:val="Hyperlink"/>
            <w:rFonts w:asciiTheme="minorHAnsi" w:hAnsiTheme="minorHAnsi"/>
            <w:sz w:val="22"/>
            <w:szCs w:val="22"/>
          </w:rPr>
          <w:t>Health &amp; Safety: Mana</w:t>
        </w:r>
        <w:r w:rsidRPr="005A2CEA">
          <w:rPr>
            <w:rStyle w:val="Hyperlink"/>
            <w:rFonts w:asciiTheme="minorHAnsi" w:hAnsiTheme="minorHAnsi"/>
            <w:sz w:val="22"/>
            <w:szCs w:val="22"/>
          </w:rPr>
          <w:t>ging spills</w:t>
        </w:r>
      </w:hyperlink>
      <w:r>
        <w:rPr>
          <w:rFonts w:asciiTheme="minorHAnsi" w:hAnsiTheme="minorHAnsi"/>
          <w:sz w:val="22"/>
          <w:szCs w:val="22"/>
        </w:rPr>
        <w:t>.</w:t>
      </w:r>
    </w:p>
    <w:p w14:paraId="4530C66A" w14:textId="7808F5DA" w:rsidR="008555B6" w:rsidRDefault="008555B6" w:rsidP="008555B6">
      <w:pPr>
        <w:spacing w:before="240"/>
        <w:rPr>
          <w:rFonts w:asciiTheme="minorHAnsi" w:hAnsiTheme="minorHAnsi"/>
        </w:rPr>
      </w:pPr>
      <w:r>
        <w:t>The Director, Health &amp; Safety shall provide and publish</w:t>
      </w:r>
      <w:r w:rsidRPr="00B02147">
        <w:t xml:space="preserve"> information </w:t>
      </w:r>
      <w:r>
        <w:t xml:space="preserve">on emergency preparedness for spills. </w:t>
      </w:r>
    </w:p>
    <w:p w14:paraId="7B389943" w14:textId="77777777" w:rsidR="00220003" w:rsidRPr="00B02147" w:rsidRDefault="00A201E5" w:rsidP="005A2CEA">
      <w:pPr>
        <w:pStyle w:val="Heading2"/>
        <w:spacing w:before="240"/>
        <w:rPr>
          <w:rFonts w:eastAsia="Times New Roman"/>
        </w:rPr>
      </w:pPr>
      <w:r>
        <w:rPr>
          <w:rFonts w:eastAsia="Times New Roman"/>
        </w:rPr>
        <w:t>4.3</w:t>
      </w:r>
      <w:r>
        <w:rPr>
          <w:rFonts w:eastAsia="Times New Roman"/>
        </w:rPr>
        <w:tab/>
      </w:r>
      <w:r w:rsidR="00B57514">
        <w:rPr>
          <w:rFonts w:eastAsia="Times New Roman"/>
        </w:rPr>
        <w:t xml:space="preserve">Responding to a </w:t>
      </w:r>
      <w:r w:rsidR="005A2CEA">
        <w:rPr>
          <w:rFonts w:eastAsia="Times New Roman"/>
        </w:rPr>
        <w:t>Spill</w:t>
      </w:r>
    </w:p>
    <w:p w14:paraId="455C877D" w14:textId="77777777" w:rsidR="00507EAB" w:rsidRPr="00B02147" w:rsidRDefault="00B57514" w:rsidP="005A2CEA">
      <w:pPr>
        <w:spacing w:before="240"/>
      </w:pPr>
      <w:r>
        <w:t xml:space="preserve">In the event of a </w:t>
      </w:r>
      <w:r w:rsidR="00332F58">
        <w:t>l</w:t>
      </w:r>
      <w:r>
        <w:t>ow risk spill, this can be</w:t>
      </w:r>
      <w:r w:rsidR="00507EAB" w:rsidRPr="00B02147">
        <w:t xml:space="preserve"> </w:t>
      </w:r>
      <w:r w:rsidR="00507EAB">
        <w:t>managed</w:t>
      </w:r>
      <w:r w:rsidR="00507EAB" w:rsidRPr="00B02147">
        <w:t xml:space="preserve"> by </w:t>
      </w:r>
      <w:r w:rsidR="005A2CEA">
        <w:t>local area emergency procedures and the staff and students that work in the spa</w:t>
      </w:r>
      <w:r>
        <w:t>ce.</w:t>
      </w:r>
    </w:p>
    <w:p w14:paraId="09C6B2D6" w14:textId="77777777" w:rsidR="00B57514" w:rsidRDefault="00B57514" w:rsidP="00507EAB">
      <w:pPr>
        <w:spacing w:before="240"/>
      </w:pPr>
      <w:r>
        <w:t>In the event of a medium risk spill this may be managed by either local area procedures or The University of Melbourne emergency procedures.  The risk assessment should determine the emergency procedures that are required.</w:t>
      </w:r>
    </w:p>
    <w:p w14:paraId="26C768DA" w14:textId="77777777" w:rsidR="00507EAB" w:rsidRDefault="00B57514" w:rsidP="00507EAB">
      <w:pPr>
        <w:spacing w:before="240"/>
      </w:pPr>
      <w:r>
        <w:t>In the event of a high to extreme risk spill this must be immediately reported to Security and managed through the University of Melbourne emergency procedures.</w:t>
      </w:r>
    </w:p>
    <w:p w14:paraId="4B0E3402" w14:textId="77777777" w:rsidR="00220003" w:rsidRPr="003D32FD" w:rsidRDefault="003D32FD" w:rsidP="003D32FD">
      <w:pPr>
        <w:pStyle w:val="Heading2"/>
        <w:rPr>
          <w:rFonts w:eastAsia="Times New Roman"/>
        </w:rPr>
      </w:pPr>
      <w:r>
        <w:rPr>
          <w:rFonts w:eastAsia="Times New Roman"/>
        </w:rPr>
        <w:t>4.5</w:t>
      </w:r>
      <w:r>
        <w:rPr>
          <w:rFonts w:eastAsia="Times New Roman"/>
        </w:rPr>
        <w:tab/>
        <w:t>Training</w:t>
      </w:r>
      <w:r w:rsidR="00507EAB">
        <w:rPr>
          <w:rFonts w:eastAsia="Times New Roman"/>
        </w:rPr>
        <w:t xml:space="preserve"> and instruction</w:t>
      </w:r>
    </w:p>
    <w:p w14:paraId="7AEE0F22" w14:textId="77777777" w:rsidR="00507EAB" w:rsidRPr="00B02147" w:rsidRDefault="00507EAB" w:rsidP="00B57514">
      <w:pPr>
        <w:spacing w:before="240"/>
      </w:pPr>
      <w:r>
        <w:t xml:space="preserve">The Head of </w:t>
      </w:r>
      <w:r w:rsidR="008555B6">
        <w:t>School</w:t>
      </w:r>
      <w:r w:rsidR="00B57514">
        <w:t>/</w:t>
      </w:r>
      <w:r>
        <w:t xml:space="preserve">Division must </w:t>
      </w:r>
      <w:r w:rsidR="00B57514">
        <w:t>training</w:t>
      </w:r>
      <w:r w:rsidRPr="00B02147">
        <w:t xml:space="preserve"> </w:t>
      </w:r>
      <w:r w:rsidR="00B57514">
        <w:t xml:space="preserve">and instruction </w:t>
      </w:r>
      <w:r w:rsidRPr="00B02147">
        <w:t xml:space="preserve">is provided to staff and students to safely clean up spilled chemical substances. This should include emergency services contact details, building evacuation team contacts, and other staff as appropriate, and location of equipment and materials such as </w:t>
      </w:r>
      <w:proofErr w:type="spellStart"/>
      <w:r w:rsidRPr="00B02147">
        <w:t>self contained</w:t>
      </w:r>
      <w:proofErr w:type="spellEnd"/>
      <w:r w:rsidRPr="00B02147">
        <w:t xml:space="preserve"> breathing apparatus or respirator locations. </w:t>
      </w:r>
    </w:p>
    <w:p w14:paraId="19C78676" w14:textId="77777777" w:rsidR="00507EAB" w:rsidRDefault="00B57514" w:rsidP="00507EAB">
      <w:r>
        <w:t>Training and instruction may include one or combination of the following:</w:t>
      </w:r>
    </w:p>
    <w:p w14:paraId="167E2121" w14:textId="77777777" w:rsidR="00B57514" w:rsidRDefault="00B57514" w:rsidP="00B57514">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sidRPr="00B57514">
        <w:rPr>
          <w:rFonts w:asciiTheme="minorHAnsi" w:hAnsiTheme="minorHAnsi"/>
          <w:sz w:val="22"/>
          <w:szCs w:val="22"/>
        </w:rPr>
        <w:t>instruction and familiarisation with local area risk assessments and standard operating procedures</w:t>
      </w:r>
      <w:r>
        <w:rPr>
          <w:rFonts w:asciiTheme="minorHAnsi" w:hAnsiTheme="minorHAnsi"/>
          <w:sz w:val="22"/>
          <w:szCs w:val="22"/>
        </w:rPr>
        <w:t>;</w:t>
      </w:r>
    </w:p>
    <w:p w14:paraId="7FC9B4AB" w14:textId="77777777" w:rsidR="00B57514" w:rsidRDefault="00B57514" w:rsidP="00B57514">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instruction and familiarisation with local area emergency procedures, including spill kits</w:t>
      </w:r>
      <w:r w:rsidR="008555B6">
        <w:rPr>
          <w:rFonts w:asciiTheme="minorHAnsi" w:hAnsiTheme="minorHAnsi"/>
          <w:sz w:val="22"/>
          <w:szCs w:val="22"/>
        </w:rPr>
        <w:t>;</w:t>
      </w:r>
    </w:p>
    <w:p w14:paraId="78250179" w14:textId="77777777" w:rsidR="008555B6" w:rsidRDefault="008555B6" w:rsidP="00B57514">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local area induction;</w:t>
      </w:r>
    </w:p>
    <w:p w14:paraId="3EB67AD0" w14:textId="77777777" w:rsidR="00B57514" w:rsidRDefault="008555B6" w:rsidP="00B57514">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Chemical Management Training, including hazardous waste;</w:t>
      </w:r>
    </w:p>
    <w:p w14:paraId="79926124" w14:textId="77777777" w:rsidR="008555B6" w:rsidRDefault="008555B6" w:rsidP="00B57514">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Radiation Safe Practices: Ionising;</w:t>
      </w:r>
    </w:p>
    <w:p w14:paraId="7FA58B46" w14:textId="77777777" w:rsidR="008555B6" w:rsidRPr="00B57514" w:rsidRDefault="008555B6" w:rsidP="00B57514">
      <w:pPr>
        <w:pStyle w:val="policyplain"/>
        <w:numPr>
          <w:ilvl w:val="0"/>
          <w:numId w:val="12"/>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Laboratory Training, in particular, PC2 Laboratory Training</w:t>
      </w:r>
    </w:p>
    <w:p w14:paraId="0CDCFD89" w14:textId="77777777" w:rsidR="008555B6" w:rsidRDefault="00220003" w:rsidP="00220003">
      <w:pPr>
        <w:pStyle w:val="Heading1"/>
      </w:pPr>
      <w:r>
        <w:t>5</w:t>
      </w:r>
      <w:r>
        <w:tab/>
      </w:r>
      <w:r w:rsidR="008555B6">
        <w:t>References</w:t>
      </w:r>
    </w:p>
    <w:p w14:paraId="14F7230D" w14:textId="77777777" w:rsidR="002C77D5" w:rsidRPr="00B02147" w:rsidRDefault="002C77D5" w:rsidP="002C77D5">
      <w:r w:rsidRPr="002C77D5">
        <w:rPr>
          <w:i/>
        </w:rPr>
        <w:t>Occupational Health and Safety Act 2004</w:t>
      </w:r>
      <w:r w:rsidRPr="0075172D">
        <w:t xml:space="preserve"> </w:t>
      </w:r>
      <w:r>
        <w:t>(Vic)</w:t>
      </w:r>
    </w:p>
    <w:p w14:paraId="680858A0" w14:textId="77777777" w:rsidR="002C77D5" w:rsidRPr="00B02147" w:rsidRDefault="002C77D5" w:rsidP="002C77D5">
      <w:r w:rsidRPr="002C77D5">
        <w:rPr>
          <w:i/>
        </w:rPr>
        <w:t>Dangerous Goods (Storage and Handling) Regulations 2012</w:t>
      </w:r>
      <w:r>
        <w:t xml:space="preserve"> (Vic)</w:t>
      </w:r>
    </w:p>
    <w:p w14:paraId="233CE717" w14:textId="77777777" w:rsidR="002C77D5" w:rsidRDefault="002C77D5" w:rsidP="002C77D5">
      <w:r w:rsidRPr="002C77D5">
        <w:rPr>
          <w:i/>
        </w:rPr>
        <w:lastRenderedPageBreak/>
        <w:t>Occupational</w:t>
      </w:r>
      <w:r w:rsidR="00FC7B18">
        <w:rPr>
          <w:i/>
        </w:rPr>
        <w:t xml:space="preserve"> Health &amp; Safety Regulations 201</w:t>
      </w:r>
      <w:r w:rsidRPr="002C77D5">
        <w:rPr>
          <w:i/>
        </w:rPr>
        <w:t>7</w:t>
      </w:r>
      <w:r w:rsidRPr="00B02147">
        <w:t xml:space="preserve"> </w:t>
      </w:r>
      <w:r>
        <w:t>(Vic)</w:t>
      </w:r>
    </w:p>
    <w:p w14:paraId="727A2595" w14:textId="77777777" w:rsidR="00332F58" w:rsidRPr="00B02147" w:rsidRDefault="00332F58" w:rsidP="002C77D5">
      <w:r w:rsidRPr="00332F58">
        <w:rPr>
          <w:i/>
        </w:rPr>
        <w:t>Gene Technology Act 2000</w:t>
      </w:r>
      <w:r>
        <w:t xml:space="preserve"> (Cth)</w:t>
      </w:r>
    </w:p>
    <w:p w14:paraId="5300C93A" w14:textId="77777777" w:rsidR="002C77D5" w:rsidRDefault="002C77D5" w:rsidP="002C77D5">
      <w:r w:rsidRPr="002C77D5">
        <w:rPr>
          <w:i/>
        </w:rPr>
        <w:t>Environment Protection Act 1970</w:t>
      </w:r>
      <w:r w:rsidRPr="00B02147">
        <w:t xml:space="preserve"> </w:t>
      </w:r>
      <w:r>
        <w:t>(Vic)</w:t>
      </w:r>
    </w:p>
    <w:p w14:paraId="603498E6" w14:textId="77777777" w:rsidR="002C77D5" w:rsidRDefault="002C77D5" w:rsidP="002C77D5">
      <w:r>
        <w:t>AS/NZS 2243.1: Safety in laboratories – Planning and operational aspects</w:t>
      </w:r>
    </w:p>
    <w:p w14:paraId="5CDA9FCC" w14:textId="77777777" w:rsidR="002C77D5" w:rsidRDefault="002C77D5" w:rsidP="002C77D5">
      <w:r>
        <w:t>AS/NZS 2243.2: Safety in laboratories – Chemical aspects</w:t>
      </w:r>
    </w:p>
    <w:p w14:paraId="4A3132B2" w14:textId="77777777" w:rsidR="002C77D5" w:rsidRDefault="002C77D5" w:rsidP="002C77D5">
      <w:r>
        <w:t>AS</w:t>
      </w:r>
      <w:r w:rsidR="00B25100">
        <w:t>/NZS 2243.3</w:t>
      </w:r>
      <w:r>
        <w:t>: Safety in laboratories –</w:t>
      </w:r>
      <w:r w:rsidR="00B25100">
        <w:t xml:space="preserve"> Microbiological safety and containment</w:t>
      </w:r>
    </w:p>
    <w:p w14:paraId="5C72AB7B" w14:textId="77777777" w:rsidR="00CF695D" w:rsidRDefault="00B25100" w:rsidP="00CF695D">
      <w:r>
        <w:t>AS/NZS 2243.4: Safety in laboratories – Ionizing radiations</w:t>
      </w:r>
    </w:p>
    <w:p w14:paraId="36297F33" w14:textId="7575E5B6" w:rsidR="00CF695D" w:rsidRDefault="0029116C" w:rsidP="00CF695D">
      <w:pPr>
        <w:rPr>
          <w:lang w:eastAsia="en-US"/>
        </w:rPr>
      </w:pPr>
      <w:hyperlink r:id="rId14" w:history="1">
        <w:r w:rsidR="00CF695D" w:rsidRPr="00CF695D">
          <w:rPr>
            <w:rStyle w:val="Hyperlink"/>
            <w:lang w:eastAsia="en-US"/>
          </w:rPr>
          <w:t xml:space="preserve">Health &amp; Safety: Chemical </w:t>
        </w:r>
        <w:r w:rsidR="00CF695D" w:rsidRPr="00CF695D">
          <w:rPr>
            <w:rStyle w:val="Hyperlink"/>
            <w:lang w:eastAsia="en-US"/>
          </w:rPr>
          <w:t>requirements</w:t>
        </w:r>
      </w:hyperlink>
    </w:p>
    <w:p w14:paraId="7101A87B" w14:textId="42096BFE" w:rsidR="00CF695D" w:rsidRPr="00924370" w:rsidRDefault="00924370" w:rsidP="00CF695D">
      <w:pPr>
        <w:rPr>
          <w:rStyle w:val="Hyperlink"/>
          <w:lang w:eastAsia="en-US"/>
        </w:rPr>
      </w:pPr>
      <w:r>
        <w:rPr>
          <w:lang w:eastAsia="en-US"/>
        </w:rPr>
        <w:fldChar w:fldCharType="begin"/>
      </w:r>
      <w:r>
        <w:rPr>
          <w:lang w:eastAsia="en-US"/>
        </w:rPr>
        <w:instrText xml:space="preserve"> HYPERLINK "https://safety.unimelb.edu.au/__data/assets/word_doc/0012/1798284/Health-and-safety-waste-management-requirements.docx" </w:instrText>
      </w:r>
      <w:r>
        <w:rPr>
          <w:lang w:eastAsia="en-US"/>
        </w:rPr>
      </w:r>
      <w:r>
        <w:rPr>
          <w:lang w:eastAsia="en-US"/>
        </w:rPr>
        <w:fldChar w:fldCharType="separate"/>
      </w:r>
      <w:r w:rsidR="00CF695D" w:rsidRPr="00924370">
        <w:rPr>
          <w:rStyle w:val="Hyperlink"/>
          <w:lang w:eastAsia="en-US"/>
        </w:rPr>
        <w:t>Health &amp; Safety: Hazardous w</w:t>
      </w:r>
      <w:r w:rsidR="00CF695D" w:rsidRPr="00924370">
        <w:rPr>
          <w:rStyle w:val="Hyperlink"/>
          <w:lang w:eastAsia="en-US"/>
        </w:rPr>
        <w:t>aste requirements</w:t>
      </w:r>
    </w:p>
    <w:p w14:paraId="67A97888" w14:textId="51D6F3C7" w:rsidR="00B02147" w:rsidRPr="00220003" w:rsidRDefault="00924370" w:rsidP="00332F58">
      <w:pPr>
        <w:pStyle w:val="Heading1"/>
        <w:spacing w:before="240"/>
      </w:pPr>
      <w:r>
        <w:rPr>
          <w:rFonts w:eastAsia="Calibri" w:cs="Times New Roman"/>
          <w:b w:val="0"/>
          <w:caps w:val="0"/>
          <w:color w:val="auto"/>
          <w:sz w:val="22"/>
          <w:szCs w:val="22"/>
        </w:rPr>
        <w:fldChar w:fldCharType="end"/>
      </w:r>
      <w:r w:rsidR="002C77D5">
        <w:t>6</w:t>
      </w:r>
      <w:r w:rsidR="002C77D5">
        <w:tab/>
      </w:r>
      <w:r w:rsidR="00220003">
        <w:t>Responsibilities</w:t>
      </w:r>
    </w:p>
    <w:p w14:paraId="6B81F15D" w14:textId="77777777" w:rsidR="008555B6" w:rsidRDefault="008555B6" w:rsidP="008555B6">
      <w:r>
        <w:t>Head of School/Division</w:t>
      </w:r>
    </w:p>
    <w:p w14:paraId="73157591" w14:textId="0ACCAB81" w:rsidR="008555B6" w:rsidRDefault="008555B6" w:rsidP="008555B6">
      <w:r>
        <w:t>Director, Health &amp; Safety</w:t>
      </w:r>
    </w:p>
    <w:p w14:paraId="194C3463" w14:textId="77777777" w:rsidR="00525E04" w:rsidRDefault="008555B6" w:rsidP="008555B6">
      <w:r>
        <w:t>Manager/Supervisor</w:t>
      </w:r>
    </w:p>
    <w:p w14:paraId="1B82856C" w14:textId="77777777" w:rsidR="002C77D5" w:rsidRDefault="002C77D5" w:rsidP="002C77D5">
      <w:pPr>
        <w:pStyle w:val="Heading1"/>
      </w:pPr>
      <w:r>
        <w:t>7.</w:t>
      </w:r>
      <w:r>
        <w:tab/>
        <w:t>Associated documentation</w:t>
      </w:r>
    </w:p>
    <w:p w14:paraId="1934CD08" w14:textId="3D49DDC1" w:rsidR="0029116C" w:rsidRDefault="002C77D5" w:rsidP="0029116C">
      <w:pPr>
        <w:pStyle w:val="Heading2"/>
        <w:spacing w:before="240"/>
        <w:rPr>
          <w:rFonts w:asciiTheme="minorHAnsi" w:hAnsiTheme="minorHAnsi"/>
          <w:szCs w:val="30"/>
          <w:lang w:val="en"/>
        </w:rPr>
      </w:pPr>
      <w:r w:rsidRPr="00061A1E">
        <w:rPr>
          <w:rFonts w:asciiTheme="minorHAnsi" w:hAnsiTheme="minorHAnsi"/>
          <w:szCs w:val="30"/>
          <w:lang w:val="en"/>
        </w:rPr>
        <w:t>7.1</w:t>
      </w:r>
      <w:r w:rsidRPr="00061A1E">
        <w:rPr>
          <w:rFonts w:asciiTheme="minorHAnsi" w:hAnsiTheme="minorHAnsi"/>
          <w:szCs w:val="30"/>
          <w:lang w:val="en"/>
        </w:rPr>
        <w:tab/>
        <w:t>Processes</w:t>
      </w:r>
    </w:p>
    <w:p w14:paraId="33316170" w14:textId="11FEE0A6" w:rsidR="0029116C" w:rsidRPr="0029116C" w:rsidRDefault="0029116C" w:rsidP="0029116C">
      <w:r>
        <w:t>Nil</w:t>
      </w:r>
    </w:p>
    <w:p w14:paraId="64C0E7C4" w14:textId="77777777" w:rsidR="002C77D5" w:rsidRPr="00061A1E" w:rsidRDefault="002C77D5" w:rsidP="00A5394E">
      <w:pPr>
        <w:pStyle w:val="Heading2"/>
        <w:spacing w:before="240"/>
        <w:rPr>
          <w:rFonts w:asciiTheme="minorHAnsi" w:hAnsiTheme="minorHAnsi"/>
          <w:bCs/>
          <w:szCs w:val="30"/>
          <w:lang w:val="en"/>
        </w:rPr>
      </w:pPr>
      <w:r w:rsidRPr="00061A1E">
        <w:rPr>
          <w:rFonts w:asciiTheme="minorHAnsi" w:hAnsiTheme="minorHAnsi"/>
          <w:szCs w:val="30"/>
          <w:lang w:val="en"/>
        </w:rPr>
        <w:t>7.2</w:t>
      </w:r>
      <w:r w:rsidRPr="00061A1E">
        <w:rPr>
          <w:rFonts w:asciiTheme="minorHAnsi" w:hAnsiTheme="minorHAnsi"/>
          <w:szCs w:val="30"/>
          <w:lang w:val="en"/>
        </w:rPr>
        <w:tab/>
        <w:t>Forms</w:t>
      </w:r>
    </w:p>
    <w:p w14:paraId="578834FA" w14:textId="77777777" w:rsidR="002C77D5" w:rsidRPr="00A5394E" w:rsidRDefault="00CF695D" w:rsidP="002C77D5">
      <w:r>
        <w:t>Nil</w:t>
      </w:r>
    </w:p>
    <w:p w14:paraId="1F652E71" w14:textId="77777777" w:rsidR="002C77D5" w:rsidRPr="00061A1E" w:rsidRDefault="002C77D5" w:rsidP="00A5394E">
      <w:pPr>
        <w:pStyle w:val="Heading2"/>
        <w:spacing w:before="240"/>
        <w:rPr>
          <w:rFonts w:asciiTheme="minorHAnsi" w:hAnsiTheme="minorHAnsi"/>
          <w:bCs/>
          <w:szCs w:val="30"/>
          <w:lang w:val="en"/>
        </w:rPr>
      </w:pPr>
      <w:r w:rsidRPr="00061A1E">
        <w:rPr>
          <w:rFonts w:asciiTheme="minorHAnsi" w:hAnsiTheme="minorHAnsi"/>
          <w:szCs w:val="30"/>
          <w:lang w:val="en"/>
        </w:rPr>
        <w:t>7.3</w:t>
      </w:r>
      <w:r w:rsidRPr="00061A1E">
        <w:rPr>
          <w:rFonts w:asciiTheme="minorHAnsi" w:hAnsiTheme="minorHAnsi"/>
          <w:szCs w:val="30"/>
          <w:lang w:val="en"/>
        </w:rPr>
        <w:tab/>
        <w:t>Guidance</w:t>
      </w:r>
    </w:p>
    <w:p w14:paraId="07B373CE" w14:textId="7E687617" w:rsidR="002C77D5" w:rsidRPr="0029116C" w:rsidRDefault="0029116C" w:rsidP="002C77D5">
      <w:pPr>
        <w:spacing w:before="240"/>
        <w:rPr>
          <w:rStyle w:val="Hyperlink"/>
        </w:rPr>
      </w:pPr>
      <w:r>
        <w:fldChar w:fldCharType="begin"/>
      </w:r>
      <w:r>
        <w:instrText>HYPERLINK "https://safety.unimelb.edu.au/__data/assets/pdf_file/0006/4689411/chemical-management-guidelines.pdf" \o "Chemical management guidelines" \t "_blank"</w:instrText>
      </w:r>
      <w:r>
        <w:fldChar w:fldCharType="separate"/>
      </w:r>
      <w:r w:rsidR="00CF695D" w:rsidRPr="0029116C">
        <w:rPr>
          <w:rStyle w:val="Hyperlink"/>
        </w:rPr>
        <w:t>Chemical manage</w:t>
      </w:r>
      <w:r w:rsidR="00CF695D" w:rsidRPr="0029116C">
        <w:rPr>
          <w:rStyle w:val="Hyperlink"/>
        </w:rPr>
        <w:t>ment guidelines</w:t>
      </w:r>
    </w:p>
    <w:p w14:paraId="0A6E55A5" w14:textId="26BB6424" w:rsidR="002C77D5" w:rsidRDefault="0029116C" w:rsidP="00220003">
      <w:r>
        <w:fldChar w:fldCharType="end"/>
      </w:r>
      <w:hyperlink r:id="rId15" w:history="1">
        <w:r w:rsidR="00CF695D" w:rsidRPr="005A2CEA">
          <w:rPr>
            <w:rStyle w:val="Hyperlink"/>
            <w:rFonts w:asciiTheme="minorHAnsi" w:hAnsiTheme="minorHAnsi"/>
          </w:rPr>
          <w:t>Health &amp; Safety: Mana</w:t>
        </w:r>
        <w:r w:rsidR="00CF695D" w:rsidRPr="005A2CEA">
          <w:rPr>
            <w:rStyle w:val="Hyperlink"/>
            <w:rFonts w:asciiTheme="minorHAnsi" w:hAnsiTheme="minorHAnsi"/>
          </w:rPr>
          <w:t>ging spills</w:t>
        </w:r>
      </w:hyperlink>
    </w:p>
    <w:p w14:paraId="45D84A12" w14:textId="4FEB6639" w:rsidR="00220003" w:rsidRPr="00C92DF7" w:rsidRDefault="0029116C" w:rsidP="001E155A">
      <w:hyperlink r:id="rId16" w:history="1">
        <w:r w:rsidR="00CF695D" w:rsidRPr="0029116C">
          <w:rPr>
            <w:rStyle w:val="Hyperlink"/>
          </w:rPr>
          <w:t>Ionising radiation man</w:t>
        </w:r>
        <w:r w:rsidR="00CF695D" w:rsidRPr="0029116C">
          <w:rPr>
            <w:rStyle w:val="Hyperlink"/>
          </w:rPr>
          <w:t>agement guidelines</w:t>
        </w:r>
      </w:hyperlink>
    </w:p>
    <w:sectPr w:rsidR="00220003" w:rsidRPr="00C92DF7" w:rsidSect="001E155A">
      <w:footerReference w:type="default" r:id="rId17"/>
      <w:pgSz w:w="11906" w:h="16838" w:code="9"/>
      <w:pgMar w:top="397" w:right="397" w:bottom="1247"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8515" w14:textId="77777777" w:rsidR="00664DF2" w:rsidRDefault="00664DF2" w:rsidP="001E155A">
      <w:r>
        <w:separator/>
      </w:r>
    </w:p>
  </w:endnote>
  <w:endnote w:type="continuationSeparator" w:id="0">
    <w:p w14:paraId="4B61DC3B" w14:textId="77777777" w:rsidR="00664DF2" w:rsidRDefault="00664DF2" w:rsidP="001E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A1" w14:textId="77777777" w:rsidR="002C77D5" w:rsidRDefault="00B33A90" w:rsidP="002C77D5">
    <w:pPr>
      <w:pStyle w:val="footertext"/>
      <w:pBdr>
        <w:bottom w:val="single" w:sz="4" w:space="3" w:color="auto"/>
      </w:pBdr>
      <w:tabs>
        <w:tab w:val="right" w:pos="11057"/>
      </w:tabs>
      <w:spacing w:after="60"/>
    </w:pPr>
    <w:hyperlink r:id="rId1" w:history="1">
      <w:r w:rsidR="002C77D5">
        <w:rPr>
          <w:rStyle w:val="footerfieldlabelChar"/>
        </w:rPr>
        <w:t>safety</w:t>
      </w:r>
      <w:r w:rsidR="002C77D5" w:rsidRPr="00014164">
        <w:rPr>
          <w:rStyle w:val="footerfieldlabelChar"/>
        </w:rPr>
        <w:t>.unimelb.edu.au</w:t>
      </w:r>
    </w:hyperlink>
    <w:r w:rsidR="002C77D5">
      <w:tab/>
      <w:t>HEALTH &amp; SAFETY –</w:t>
    </w:r>
    <w:r w:rsidR="002C77D5">
      <w:rPr>
        <w:rStyle w:val="footerdocheaderChar"/>
      </w:rPr>
      <w:t xml:space="preserve"> spill management requirements </w:t>
    </w:r>
    <w:r w:rsidR="002C77D5">
      <w:t xml:space="preserve"> </w:t>
    </w:r>
    <w:r w:rsidR="002C77D5" w:rsidRPr="00014164">
      <w:rPr>
        <w:rStyle w:val="footerfieldlabelChar"/>
      </w:rPr>
      <w:fldChar w:fldCharType="begin"/>
    </w:r>
    <w:r w:rsidR="002C77D5" w:rsidRPr="00014164">
      <w:rPr>
        <w:rStyle w:val="footerfieldlabelChar"/>
      </w:rPr>
      <w:instrText xml:space="preserve"> PAGE </w:instrText>
    </w:r>
    <w:r w:rsidR="002C77D5" w:rsidRPr="00014164">
      <w:rPr>
        <w:rStyle w:val="footerfieldlabelChar"/>
      </w:rPr>
      <w:fldChar w:fldCharType="separate"/>
    </w:r>
    <w:r w:rsidR="00FC7B18">
      <w:rPr>
        <w:rStyle w:val="footerfieldlabelChar"/>
        <w:noProof/>
      </w:rPr>
      <w:t>4</w:t>
    </w:r>
    <w:r w:rsidR="002C77D5" w:rsidRPr="00014164">
      <w:rPr>
        <w:rStyle w:val="footerfieldlabelChar"/>
      </w:rPr>
      <w:fldChar w:fldCharType="end"/>
    </w:r>
  </w:p>
  <w:p w14:paraId="24E432E0" w14:textId="5EF36759" w:rsidR="002C77D5" w:rsidRDefault="002C77D5" w:rsidP="002C77D5">
    <w:pPr>
      <w:pStyle w:val="footertext"/>
      <w:jc w:val="right"/>
    </w:pPr>
    <w:r w:rsidRPr="00014164">
      <w:rPr>
        <w:rStyle w:val="footerfieldlabelChar"/>
      </w:rPr>
      <w:t>Date</w:t>
    </w:r>
    <w:r>
      <w:t xml:space="preserve">: </w:t>
    </w:r>
    <w:r w:rsidR="00924370">
      <w:t>Sept</w:t>
    </w:r>
    <w:r w:rsidR="00711E7F">
      <w:t xml:space="preserve"> 202</w:t>
    </w:r>
    <w:r w:rsidR="00924370">
      <w:t>2</w:t>
    </w:r>
    <w:r>
      <w:t xml:space="preserve"> </w:t>
    </w:r>
    <w:r w:rsidRPr="00014164">
      <w:rPr>
        <w:rStyle w:val="footerfieldlabelChar"/>
      </w:rPr>
      <w:t>Version</w:t>
    </w:r>
    <w:r w:rsidR="00FC7B18">
      <w:t xml:space="preserve">: </w:t>
    </w:r>
    <w:r w:rsidR="00711E7F" w:rsidRPr="00711E7F">
      <w:t>1</w:t>
    </w:r>
    <w:r w:rsidR="00FC7B18" w:rsidRPr="00711E7F">
      <w:t>.</w:t>
    </w:r>
    <w:r w:rsidR="0029116C">
      <w:t>4</w:t>
    </w:r>
    <w:r>
      <w:t xml:space="preserve"> </w:t>
    </w:r>
    <w:proofErr w:type="spellStart"/>
    <w:r w:rsidRPr="00014164">
      <w:rPr>
        <w:rStyle w:val="footerfieldlabelChar"/>
      </w:rPr>
      <w:t>Authorised</w:t>
    </w:r>
    <w:proofErr w:type="spellEnd"/>
    <w:r w:rsidRPr="00014164">
      <w:rPr>
        <w:rStyle w:val="footerfieldlabelChar"/>
      </w:rPr>
      <w:t xml:space="preserve"> by</w:t>
    </w:r>
    <w:r>
      <w:t>: Manager, Health &amp; Safety</w:t>
    </w:r>
    <w:r w:rsidR="00711E7F">
      <w:t xml:space="preserve"> </w:t>
    </w:r>
    <w:proofErr w:type="gramStart"/>
    <w:r w:rsidR="000A50FE">
      <w:t>Systems</w:t>
    </w:r>
    <w:r>
      <w:t xml:space="preserve">  </w:t>
    </w:r>
    <w:r w:rsidRPr="00014164">
      <w:rPr>
        <w:rStyle w:val="footerfieldlabelChar"/>
      </w:rPr>
      <w:t>Next</w:t>
    </w:r>
    <w:proofErr w:type="gramEnd"/>
    <w:r w:rsidRPr="00014164">
      <w:rPr>
        <w:rStyle w:val="footerfieldlabelChar"/>
      </w:rPr>
      <w:t xml:space="preserve"> Review</w:t>
    </w:r>
    <w:r>
      <w:t xml:space="preserve">: </w:t>
    </w:r>
    <w:r w:rsidR="00924370">
      <w:t>Sept</w:t>
    </w:r>
    <w:r>
      <w:t xml:space="preserve"> 202</w:t>
    </w:r>
    <w:r w:rsidR="00F2295A">
      <w:t>7</w:t>
    </w:r>
  </w:p>
  <w:p w14:paraId="618093CA" w14:textId="77777777" w:rsidR="00525E04" w:rsidRPr="002C77D5" w:rsidRDefault="002C77D5" w:rsidP="002C77D5">
    <w:pPr>
      <w:pStyle w:val="footertext"/>
      <w:jc w:val="right"/>
    </w:pPr>
    <w:r>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2ADE" w14:textId="77777777" w:rsidR="00664DF2" w:rsidRDefault="00664DF2" w:rsidP="001E155A">
      <w:r>
        <w:separator/>
      </w:r>
    </w:p>
  </w:footnote>
  <w:footnote w:type="continuationSeparator" w:id="0">
    <w:p w14:paraId="19F73F56" w14:textId="77777777" w:rsidR="00664DF2" w:rsidRDefault="00664DF2" w:rsidP="001E1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28C"/>
    <w:multiLevelType w:val="hybridMultilevel"/>
    <w:tmpl w:val="2A661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B1423"/>
    <w:multiLevelType w:val="hybridMultilevel"/>
    <w:tmpl w:val="866207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76E1B45"/>
    <w:multiLevelType w:val="hybridMultilevel"/>
    <w:tmpl w:val="C114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57188"/>
    <w:multiLevelType w:val="hybridMultilevel"/>
    <w:tmpl w:val="6DACF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D425B9"/>
    <w:multiLevelType w:val="multilevel"/>
    <w:tmpl w:val="B1B4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6214B"/>
    <w:multiLevelType w:val="multilevel"/>
    <w:tmpl w:val="BEA0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4462C"/>
    <w:multiLevelType w:val="multilevel"/>
    <w:tmpl w:val="6DC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C67CB"/>
    <w:multiLevelType w:val="multilevel"/>
    <w:tmpl w:val="446C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741E1"/>
    <w:multiLevelType w:val="multilevel"/>
    <w:tmpl w:val="4DE6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B3303"/>
    <w:multiLevelType w:val="multilevel"/>
    <w:tmpl w:val="0148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16A9C"/>
    <w:multiLevelType w:val="hybridMultilevel"/>
    <w:tmpl w:val="67C0C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41231E"/>
    <w:multiLevelType w:val="multilevel"/>
    <w:tmpl w:val="E644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356652"/>
    <w:multiLevelType w:val="multilevel"/>
    <w:tmpl w:val="46FC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396022">
    <w:abstractNumId w:val="9"/>
  </w:num>
  <w:num w:numId="2" w16cid:durableId="2067026398">
    <w:abstractNumId w:val="5"/>
  </w:num>
  <w:num w:numId="3" w16cid:durableId="150751708">
    <w:abstractNumId w:val="4"/>
  </w:num>
  <w:num w:numId="4" w16cid:durableId="474958970">
    <w:abstractNumId w:val="7"/>
  </w:num>
  <w:num w:numId="5" w16cid:durableId="1394695933">
    <w:abstractNumId w:val="11"/>
  </w:num>
  <w:num w:numId="6" w16cid:durableId="851382575">
    <w:abstractNumId w:val="8"/>
  </w:num>
  <w:num w:numId="7" w16cid:durableId="1261522295">
    <w:abstractNumId w:val="6"/>
  </w:num>
  <w:num w:numId="8" w16cid:durableId="1916815626">
    <w:abstractNumId w:val="12"/>
  </w:num>
  <w:num w:numId="9" w16cid:durableId="68114854">
    <w:abstractNumId w:val="1"/>
  </w:num>
  <w:num w:numId="10" w16cid:durableId="993685382">
    <w:abstractNumId w:val="0"/>
  </w:num>
  <w:num w:numId="11" w16cid:durableId="1402172071">
    <w:abstractNumId w:val="10"/>
  </w:num>
  <w:num w:numId="12" w16cid:durableId="437679121">
    <w:abstractNumId w:val="3"/>
  </w:num>
  <w:num w:numId="13" w16cid:durableId="763962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147"/>
    <w:rsid w:val="000A50FE"/>
    <w:rsid w:val="000F14DB"/>
    <w:rsid w:val="000F3BE5"/>
    <w:rsid w:val="00105DC6"/>
    <w:rsid w:val="00127B3B"/>
    <w:rsid w:val="001A51F8"/>
    <w:rsid w:val="001E155A"/>
    <w:rsid w:val="001F33CC"/>
    <w:rsid w:val="00210925"/>
    <w:rsid w:val="00220003"/>
    <w:rsid w:val="00220E10"/>
    <w:rsid w:val="0029116C"/>
    <w:rsid w:val="002C77D5"/>
    <w:rsid w:val="00332F58"/>
    <w:rsid w:val="00364E0B"/>
    <w:rsid w:val="003D138A"/>
    <w:rsid w:val="003D32FD"/>
    <w:rsid w:val="004C206A"/>
    <w:rsid w:val="00507EAB"/>
    <w:rsid w:val="00525E04"/>
    <w:rsid w:val="005A2CEA"/>
    <w:rsid w:val="005B4BEF"/>
    <w:rsid w:val="00613125"/>
    <w:rsid w:val="006152E5"/>
    <w:rsid w:val="00664DF2"/>
    <w:rsid w:val="00711E7F"/>
    <w:rsid w:val="0075172D"/>
    <w:rsid w:val="007D50C1"/>
    <w:rsid w:val="008555B6"/>
    <w:rsid w:val="008556BA"/>
    <w:rsid w:val="008A218E"/>
    <w:rsid w:val="009011BB"/>
    <w:rsid w:val="00924370"/>
    <w:rsid w:val="00972AD5"/>
    <w:rsid w:val="00A201E5"/>
    <w:rsid w:val="00A5394E"/>
    <w:rsid w:val="00AA237A"/>
    <w:rsid w:val="00AD0F87"/>
    <w:rsid w:val="00B02147"/>
    <w:rsid w:val="00B066B3"/>
    <w:rsid w:val="00B25100"/>
    <w:rsid w:val="00B33A90"/>
    <w:rsid w:val="00B40577"/>
    <w:rsid w:val="00B57514"/>
    <w:rsid w:val="00B767FA"/>
    <w:rsid w:val="00C724CD"/>
    <w:rsid w:val="00C92DF7"/>
    <w:rsid w:val="00CF695D"/>
    <w:rsid w:val="00EB742A"/>
    <w:rsid w:val="00EF056B"/>
    <w:rsid w:val="00F2295A"/>
    <w:rsid w:val="00FB119E"/>
    <w:rsid w:val="00FC7B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4596"/>
  <w15:docId w15:val="{8C64CADE-5896-40B4-80E5-EE9A68B1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A"/>
    <w:pPr>
      <w:spacing w:after="170" w:line="288" w:lineRule="auto"/>
    </w:pPr>
    <w:rPr>
      <w:sz w:val="22"/>
      <w:szCs w:val="22"/>
    </w:rPr>
  </w:style>
  <w:style w:type="paragraph" w:styleId="Heading1">
    <w:name w:val="heading 1"/>
    <w:basedOn w:val="Normal"/>
    <w:next w:val="Normal"/>
    <w:link w:val="Heading1Char"/>
    <w:uiPriority w:val="9"/>
    <w:qFormat/>
    <w:rsid w:val="00220003"/>
    <w:pPr>
      <w:keepNext/>
      <w:keepLines/>
      <w:pBdr>
        <w:bottom w:val="single" w:sz="4" w:space="1" w:color="003469"/>
      </w:pBdr>
      <w:tabs>
        <w:tab w:val="left" w:pos="900"/>
      </w:tabs>
      <w:spacing w:before="170" w:after="240"/>
      <w:ind w:left="902" w:hanging="902"/>
      <w:outlineLvl w:val="0"/>
    </w:pPr>
    <w:rPr>
      <w:rFonts w:eastAsiaTheme="majorEastAsia" w:cstheme="majorBidi"/>
      <w:b/>
      <w:caps/>
      <w:color w:val="003469"/>
      <w:sz w:val="36"/>
      <w:szCs w:val="32"/>
      <w:lang w:eastAsia="en-US"/>
    </w:rPr>
  </w:style>
  <w:style w:type="paragraph" w:styleId="Heading2">
    <w:name w:val="heading 2"/>
    <w:basedOn w:val="Normal"/>
    <w:link w:val="Heading2Char"/>
    <w:uiPriority w:val="9"/>
    <w:qFormat/>
    <w:rsid w:val="00A201E5"/>
    <w:pPr>
      <w:keepNext/>
      <w:keepLines/>
      <w:tabs>
        <w:tab w:val="left" w:pos="900"/>
      </w:tabs>
      <w:spacing w:before="113" w:after="0"/>
      <w:ind w:left="900" w:hanging="900"/>
      <w:outlineLvl w:val="1"/>
    </w:pPr>
    <w:rPr>
      <w:rFonts w:eastAsiaTheme="majorEastAsia" w:cstheme="majorBidi"/>
      <w:b/>
      <w:color w:val="003469"/>
      <w:sz w:val="30"/>
      <w:szCs w:val="26"/>
      <w:lang w:eastAsia="en-US"/>
    </w:rPr>
  </w:style>
  <w:style w:type="paragraph" w:styleId="Heading3">
    <w:name w:val="heading 3"/>
    <w:basedOn w:val="Normal"/>
    <w:link w:val="Heading3Char"/>
    <w:uiPriority w:val="9"/>
    <w:qFormat/>
    <w:rsid w:val="00B0214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1E5"/>
    <w:rPr>
      <w:rFonts w:eastAsiaTheme="majorEastAsia" w:cstheme="majorBidi"/>
      <w:b/>
      <w:color w:val="003469"/>
      <w:sz w:val="30"/>
      <w:szCs w:val="26"/>
      <w:lang w:eastAsia="en-US"/>
    </w:rPr>
  </w:style>
  <w:style w:type="character" w:customStyle="1" w:styleId="Heading3Char">
    <w:name w:val="Heading 3 Char"/>
    <w:basedOn w:val="DefaultParagraphFont"/>
    <w:link w:val="Heading3"/>
    <w:uiPriority w:val="9"/>
    <w:rsid w:val="00B02147"/>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B02147"/>
    <w:rPr>
      <w:color w:val="0000FF"/>
      <w:u w:val="single"/>
    </w:rPr>
  </w:style>
  <w:style w:type="paragraph" w:styleId="NormalWeb">
    <w:name w:val="Normal (Web)"/>
    <w:basedOn w:val="Normal"/>
    <w:uiPriority w:val="99"/>
    <w:unhideWhenUsed/>
    <w:rsid w:val="00B02147"/>
    <w:pPr>
      <w:spacing w:before="100" w:beforeAutospacing="1" w:after="100" w:afterAutospacing="1"/>
    </w:pPr>
    <w:rPr>
      <w:rFonts w:ascii="Times New Roman" w:eastAsia="Times New Roman" w:hAnsi="Times New Roman"/>
      <w:sz w:val="24"/>
      <w:szCs w:val="24"/>
    </w:rPr>
  </w:style>
  <w:style w:type="character" w:customStyle="1" w:styleId="section-number">
    <w:name w:val="section-number"/>
    <w:basedOn w:val="DefaultParagraphFont"/>
    <w:rsid w:val="00B02147"/>
  </w:style>
  <w:style w:type="character" w:styleId="Strong">
    <w:name w:val="Strong"/>
    <w:basedOn w:val="DefaultParagraphFont"/>
    <w:uiPriority w:val="22"/>
    <w:qFormat/>
    <w:rsid w:val="00B02147"/>
    <w:rPr>
      <w:b/>
      <w:bCs/>
    </w:rPr>
  </w:style>
  <w:style w:type="paragraph" w:styleId="BalloonText">
    <w:name w:val="Balloon Text"/>
    <w:basedOn w:val="Normal"/>
    <w:link w:val="BalloonTextChar"/>
    <w:uiPriority w:val="99"/>
    <w:semiHidden/>
    <w:unhideWhenUsed/>
    <w:rsid w:val="00B02147"/>
    <w:rPr>
      <w:rFonts w:ascii="Tahoma" w:hAnsi="Tahoma" w:cs="Tahoma"/>
      <w:sz w:val="16"/>
      <w:szCs w:val="16"/>
    </w:rPr>
  </w:style>
  <w:style w:type="character" w:customStyle="1" w:styleId="BalloonTextChar">
    <w:name w:val="Balloon Text Char"/>
    <w:basedOn w:val="DefaultParagraphFont"/>
    <w:link w:val="BalloonText"/>
    <w:uiPriority w:val="99"/>
    <w:semiHidden/>
    <w:rsid w:val="00B02147"/>
    <w:rPr>
      <w:rFonts w:ascii="Tahoma" w:hAnsi="Tahoma" w:cs="Tahoma"/>
      <w:sz w:val="16"/>
      <w:szCs w:val="16"/>
    </w:rPr>
  </w:style>
  <w:style w:type="paragraph" w:styleId="ListParagraph">
    <w:name w:val="List Paragraph"/>
    <w:basedOn w:val="Normal"/>
    <w:uiPriority w:val="34"/>
    <w:qFormat/>
    <w:rsid w:val="00B02147"/>
    <w:pPr>
      <w:ind w:left="720"/>
      <w:contextualSpacing/>
    </w:pPr>
  </w:style>
  <w:style w:type="character" w:styleId="CommentReference">
    <w:name w:val="annotation reference"/>
    <w:basedOn w:val="DefaultParagraphFont"/>
    <w:uiPriority w:val="99"/>
    <w:semiHidden/>
    <w:unhideWhenUsed/>
    <w:rsid w:val="00B02147"/>
    <w:rPr>
      <w:sz w:val="16"/>
      <w:szCs w:val="16"/>
    </w:rPr>
  </w:style>
  <w:style w:type="paragraph" w:styleId="CommentText">
    <w:name w:val="annotation text"/>
    <w:basedOn w:val="Normal"/>
    <w:link w:val="CommentTextChar"/>
    <w:uiPriority w:val="99"/>
    <w:semiHidden/>
    <w:unhideWhenUsed/>
    <w:rsid w:val="00B02147"/>
    <w:rPr>
      <w:szCs w:val="20"/>
    </w:rPr>
  </w:style>
  <w:style w:type="character" w:customStyle="1" w:styleId="CommentTextChar">
    <w:name w:val="Comment Text Char"/>
    <w:basedOn w:val="DefaultParagraphFont"/>
    <w:link w:val="CommentText"/>
    <w:uiPriority w:val="99"/>
    <w:semiHidden/>
    <w:rsid w:val="00B0214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2147"/>
    <w:rPr>
      <w:b/>
      <w:bCs/>
    </w:rPr>
  </w:style>
  <w:style w:type="character" w:customStyle="1" w:styleId="CommentSubjectChar">
    <w:name w:val="Comment Subject Char"/>
    <w:basedOn w:val="CommentTextChar"/>
    <w:link w:val="CommentSubject"/>
    <w:uiPriority w:val="99"/>
    <w:semiHidden/>
    <w:rsid w:val="00B02147"/>
    <w:rPr>
      <w:rFonts w:ascii="Arial" w:hAnsi="Arial"/>
      <w:b/>
      <w:bCs/>
      <w:sz w:val="20"/>
      <w:szCs w:val="20"/>
    </w:rPr>
  </w:style>
  <w:style w:type="paragraph" w:styleId="Header">
    <w:name w:val="header"/>
    <w:basedOn w:val="Normal"/>
    <w:link w:val="HeaderChar"/>
    <w:uiPriority w:val="99"/>
    <w:unhideWhenUsed/>
    <w:rsid w:val="00972AD5"/>
    <w:pPr>
      <w:tabs>
        <w:tab w:val="center" w:pos="4513"/>
        <w:tab w:val="right" w:pos="9026"/>
      </w:tabs>
    </w:pPr>
  </w:style>
  <w:style w:type="character" w:customStyle="1" w:styleId="HeaderChar">
    <w:name w:val="Header Char"/>
    <w:basedOn w:val="DefaultParagraphFont"/>
    <w:link w:val="Header"/>
    <w:uiPriority w:val="99"/>
    <w:rsid w:val="00972AD5"/>
    <w:rPr>
      <w:rFonts w:ascii="Arial" w:hAnsi="Arial"/>
      <w:sz w:val="20"/>
    </w:rPr>
  </w:style>
  <w:style w:type="paragraph" w:styleId="Footer">
    <w:name w:val="footer"/>
    <w:basedOn w:val="Normal"/>
    <w:link w:val="FooterChar"/>
    <w:uiPriority w:val="99"/>
    <w:unhideWhenUsed/>
    <w:rsid w:val="00972AD5"/>
    <w:pPr>
      <w:tabs>
        <w:tab w:val="center" w:pos="4513"/>
        <w:tab w:val="right" w:pos="9026"/>
      </w:tabs>
    </w:pPr>
  </w:style>
  <w:style w:type="character" w:customStyle="1" w:styleId="FooterChar">
    <w:name w:val="Footer Char"/>
    <w:basedOn w:val="DefaultParagraphFont"/>
    <w:link w:val="Footer"/>
    <w:uiPriority w:val="99"/>
    <w:rsid w:val="00972AD5"/>
    <w:rPr>
      <w:rFonts w:ascii="Arial" w:hAnsi="Arial"/>
      <w:sz w:val="20"/>
    </w:rPr>
  </w:style>
  <w:style w:type="table" w:styleId="TableGrid">
    <w:name w:val="Table Grid"/>
    <w:basedOn w:val="TableNormal"/>
    <w:uiPriority w:val="39"/>
    <w:rsid w:val="001E15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1E155A"/>
    <w:pPr>
      <w:spacing w:after="0" w:line="240" w:lineRule="auto"/>
      <w:jc w:val="right"/>
    </w:pPr>
    <w:rPr>
      <w:rFonts w:asciiTheme="minorHAnsi" w:eastAsiaTheme="minorHAnsi" w:hAnsiTheme="minorHAnsi" w:cstheme="minorBidi"/>
      <w:caps/>
      <w:sz w:val="52"/>
      <w:lang w:eastAsia="en-US"/>
    </w:rPr>
  </w:style>
  <w:style w:type="paragraph" w:customStyle="1" w:styleId="Style2">
    <w:name w:val="Style2"/>
    <w:basedOn w:val="Style1"/>
    <w:qFormat/>
    <w:rsid w:val="001E155A"/>
    <w:pPr>
      <w:ind w:right="199"/>
    </w:pPr>
    <w:rPr>
      <w:sz w:val="40"/>
    </w:rPr>
  </w:style>
  <w:style w:type="character" w:customStyle="1" w:styleId="Heading1Char">
    <w:name w:val="Heading 1 Char"/>
    <w:basedOn w:val="DefaultParagraphFont"/>
    <w:link w:val="Heading1"/>
    <w:uiPriority w:val="9"/>
    <w:rsid w:val="00220003"/>
    <w:rPr>
      <w:rFonts w:eastAsiaTheme="majorEastAsia" w:cstheme="majorBidi"/>
      <w:b/>
      <w:caps/>
      <w:color w:val="003469"/>
      <w:sz w:val="36"/>
      <w:szCs w:val="32"/>
      <w:lang w:eastAsia="en-US"/>
    </w:rPr>
  </w:style>
  <w:style w:type="paragraph" w:customStyle="1" w:styleId="policyplain">
    <w:name w:val="policyplain"/>
    <w:basedOn w:val="Normal"/>
    <w:rsid w:val="00B767FA"/>
    <w:pPr>
      <w:spacing w:before="100" w:beforeAutospacing="1" w:after="100" w:afterAutospacing="1" w:line="240" w:lineRule="auto"/>
      <w:ind w:right="238"/>
    </w:pPr>
    <w:rPr>
      <w:rFonts w:ascii="Times New Roman" w:eastAsia="Times New Roman" w:hAnsi="Times New Roman"/>
      <w:sz w:val="24"/>
      <w:szCs w:val="24"/>
    </w:rPr>
  </w:style>
  <w:style w:type="paragraph" w:customStyle="1" w:styleId="footertext">
    <w:name w:val="footer text"/>
    <w:basedOn w:val="Normal"/>
    <w:link w:val="footertextChar"/>
    <w:rsid w:val="002C77D5"/>
    <w:pPr>
      <w:widowControl w:val="0"/>
      <w:autoSpaceDE w:val="0"/>
      <w:autoSpaceDN w:val="0"/>
      <w:adjustRightInd w:val="0"/>
      <w:spacing w:after="0" w:line="240" w:lineRule="auto"/>
    </w:pPr>
    <w:rPr>
      <w:rFonts w:ascii="Univers LT Std 45 Light" w:eastAsia="Times New Roman" w:hAnsi="Univers LT Std 45 Light"/>
      <w:sz w:val="14"/>
      <w:szCs w:val="20"/>
      <w:lang w:val="en-US" w:eastAsia="en-US"/>
    </w:rPr>
  </w:style>
  <w:style w:type="character" w:customStyle="1" w:styleId="footertextChar">
    <w:name w:val="footer text Char"/>
    <w:basedOn w:val="DefaultParagraphFont"/>
    <w:link w:val="footertext"/>
    <w:rsid w:val="002C77D5"/>
    <w:rPr>
      <w:rFonts w:ascii="Univers LT Std 45 Light" w:eastAsia="Times New Roman" w:hAnsi="Univers LT Std 45 Light"/>
      <w:sz w:val="14"/>
      <w:lang w:val="en-US" w:eastAsia="en-US"/>
    </w:rPr>
  </w:style>
  <w:style w:type="paragraph" w:customStyle="1" w:styleId="footerdocheader">
    <w:name w:val="footer doc header"/>
    <w:basedOn w:val="footertext"/>
    <w:link w:val="footerdocheaderChar"/>
    <w:rsid w:val="002C77D5"/>
    <w:pPr>
      <w:tabs>
        <w:tab w:val="right" w:pos="11057"/>
      </w:tabs>
    </w:pPr>
    <w:rPr>
      <w:caps/>
    </w:rPr>
  </w:style>
  <w:style w:type="character" w:customStyle="1" w:styleId="footerdocheaderChar">
    <w:name w:val="footer doc header Char"/>
    <w:basedOn w:val="footertextChar"/>
    <w:link w:val="footerdocheader"/>
    <w:rsid w:val="002C77D5"/>
    <w:rPr>
      <w:rFonts w:ascii="Univers LT Std 45 Light" w:eastAsia="Times New Roman" w:hAnsi="Univers LT Std 45 Light"/>
      <w:caps/>
      <w:sz w:val="14"/>
      <w:lang w:val="en-US" w:eastAsia="en-US"/>
    </w:rPr>
  </w:style>
  <w:style w:type="paragraph" w:customStyle="1" w:styleId="footerfieldlabel">
    <w:name w:val="footer field label"/>
    <w:basedOn w:val="footertext"/>
    <w:link w:val="footerfieldlabelChar"/>
    <w:rsid w:val="002C77D5"/>
    <w:pPr>
      <w:tabs>
        <w:tab w:val="right" w:pos="11057"/>
      </w:tabs>
      <w:jc w:val="right"/>
    </w:pPr>
    <w:rPr>
      <w:b/>
    </w:rPr>
  </w:style>
  <w:style w:type="character" w:customStyle="1" w:styleId="footerfieldlabelChar">
    <w:name w:val="footer field label Char"/>
    <w:basedOn w:val="footertextChar"/>
    <w:link w:val="footerfieldlabel"/>
    <w:rsid w:val="002C77D5"/>
    <w:rPr>
      <w:rFonts w:ascii="Univers LT Std 45 Light" w:eastAsia="Times New Roman" w:hAnsi="Univers LT Std 45 Light"/>
      <w:b/>
      <w:sz w:val="14"/>
      <w:lang w:val="en-US" w:eastAsia="en-US"/>
    </w:rPr>
  </w:style>
  <w:style w:type="character" w:styleId="FollowedHyperlink">
    <w:name w:val="FollowedHyperlink"/>
    <w:basedOn w:val="DefaultParagraphFont"/>
    <w:uiPriority w:val="99"/>
    <w:semiHidden/>
    <w:unhideWhenUsed/>
    <w:rsid w:val="00924370"/>
    <w:rPr>
      <w:color w:val="800080" w:themeColor="followedHyperlink"/>
      <w:u w:val="single"/>
    </w:rPr>
  </w:style>
  <w:style w:type="character" w:styleId="UnresolvedMention">
    <w:name w:val="Unresolved Mention"/>
    <w:basedOn w:val="DefaultParagraphFont"/>
    <w:uiPriority w:val="99"/>
    <w:semiHidden/>
    <w:unhideWhenUsed/>
    <w:rsid w:val="0092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034">
      <w:bodyDiv w:val="1"/>
      <w:marLeft w:val="0"/>
      <w:marRight w:val="0"/>
      <w:marTop w:val="0"/>
      <w:marBottom w:val="0"/>
      <w:divBdr>
        <w:top w:val="none" w:sz="0" w:space="0" w:color="auto"/>
        <w:left w:val="none" w:sz="0" w:space="0" w:color="auto"/>
        <w:bottom w:val="none" w:sz="0" w:space="0" w:color="auto"/>
        <w:right w:val="none" w:sz="0" w:space="0" w:color="auto"/>
      </w:divBdr>
      <w:divsChild>
        <w:div w:id="39867898">
          <w:marLeft w:val="0"/>
          <w:marRight w:val="0"/>
          <w:marTop w:val="0"/>
          <w:marBottom w:val="0"/>
          <w:divBdr>
            <w:top w:val="none" w:sz="0" w:space="0" w:color="auto"/>
            <w:left w:val="none" w:sz="0" w:space="0" w:color="auto"/>
            <w:bottom w:val="none" w:sz="0" w:space="0" w:color="auto"/>
            <w:right w:val="none" w:sz="0" w:space="0" w:color="auto"/>
          </w:divBdr>
          <w:divsChild>
            <w:div w:id="1361588402">
              <w:marLeft w:val="0"/>
              <w:marRight w:val="0"/>
              <w:marTop w:val="0"/>
              <w:marBottom w:val="0"/>
              <w:divBdr>
                <w:top w:val="none" w:sz="0" w:space="0" w:color="auto"/>
                <w:left w:val="none" w:sz="0" w:space="0" w:color="auto"/>
                <w:bottom w:val="none" w:sz="0" w:space="0" w:color="auto"/>
                <w:right w:val="none" w:sz="0" w:space="0" w:color="auto"/>
              </w:divBdr>
              <w:divsChild>
                <w:div w:id="40524942">
                  <w:marLeft w:val="0"/>
                  <w:marRight w:val="0"/>
                  <w:marTop w:val="0"/>
                  <w:marBottom w:val="0"/>
                  <w:divBdr>
                    <w:top w:val="none" w:sz="0" w:space="0" w:color="auto"/>
                    <w:left w:val="none" w:sz="0" w:space="0" w:color="auto"/>
                    <w:bottom w:val="none" w:sz="0" w:space="0" w:color="auto"/>
                    <w:right w:val="none" w:sz="0" w:space="0" w:color="auto"/>
                  </w:divBdr>
                </w:div>
                <w:div w:id="628902485">
                  <w:marLeft w:val="0"/>
                  <w:marRight w:val="0"/>
                  <w:marTop w:val="0"/>
                  <w:marBottom w:val="0"/>
                  <w:divBdr>
                    <w:top w:val="none" w:sz="0" w:space="0" w:color="auto"/>
                    <w:left w:val="none" w:sz="0" w:space="0" w:color="auto"/>
                    <w:bottom w:val="none" w:sz="0" w:space="0" w:color="auto"/>
                    <w:right w:val="none" w:sz="0" w:space="0" w:color="auto"/>
                  </w:divBdr>
                </w:div>
              </w:divsChild>
            </w:div>
            <w:div w:id="1701543855">
              <w:marLeft w:val="0"/>
              <w:marRight w:val="0"/>
              <w:marTop w:val="0"/>
              <w:marBottom w:val="0"/>
              <w:divBdr>
                <w:top w:val="none" w:sz="0" w:space="0" w:color="auto"/>
                <w:left w:val="none" w:sz="0" w:space="0" w:color="auto"/>
                <w:bottom w:val="none" w:sz="0" w:space="0" w:color="auto"/>
                <w:right w:val="none" w:sz="0" w:space="0" w:color="auto"/>
              </w:divBdr>
              <w:divsChild>
                <w:div w:id="153765651">
                  <w:marLeft w:val="0"/>
                  <w:marRight w:val="0"/>
                  <w:marTop w:val="0"/>
                  <w:marBottom w:val="0"/>
                  <w:divBdr>
                    <w:top w:val="none" w:sz="0" w:space="0" w:color="auto"/>
                    <w:left w:val="none" w:sz="0" w:space="0" w:color="auto"/>
                    <w:bottom w:val="none" w:sz="0" w:space="0" w:color="auto"/>
                    <w:right w:val="none" w:sz="0" w:space="0" w:color="auto"/>
                  </w:divBdr>
                </w:div>
                <w:div w:id="246882953">
                  <w:marLeft w:val="0"/>
                  <w:marRight w:val="0"/>
                  <w:marTop w:val="0"/>
                  <w:marBottom w:val="0"/>
                  <w:divBdr>
                    <w:top w:val="none" w:sz="0" w:space="0" w:color="auto"/>
                    <w:left w:val="none" w:sz="0" w:space="0" w:color="auto"/>
                    <w:bottom w:val="none" w:sz="0" w:space="0" w:color="auto"/>
                    <w:right w:val="none" w:sz="0" w:space="0" w:color="auto"/>
                  </w:divBdr>
                </w:div>
                <w:div w:id="446656815">
                  <w:marLeft w:val="0"/>
                  <w:marRight w:val="0"/>
                  <w:marTop w:val="0"/>
                  <w:marBottom w:val="0"/>
                  <w:divBdr>
                    <w:top w:val="none" w:sz="0" w:space="0" w:color="auto"/>
                    <w:left w:val="none" w:sz="0" w:space="0" w:color="auto"/>
                    <w:bottom w:val="none" w:sz="0" w:space="0" w:color="auto"/>
                    <w:right w:val="none" w:sz="0" w:space="0" w:color="auto"/>
                  </w:divBdr>
                </w:div>
                <w:div w:id="664095820">
                  <w:marLeft w:val="0"/>
                  <w:marRight w:val="0"/>
                  <w:marTop w:val="0"/>
                  <w:marBottom w:val="0"/>
                  <w:divBdr>
                    <w:top w:val="none" w:sz="0" w:space="0" w:color="auto"/>
                    <w:left w:val="none" w:sz="0" w:space="0" w:color="auto"/>
                    <w:bottom w:val="none" w:sz="0" w:space="0" w:color="auto"/>
                    <w:right w:val="none" w:sz="0" w:space="0" w:color="auto"/>
                  </w:divBdr>
                </w:div>
                <w:div w:id="932973665">
                  <w:marLeft w:val="0"/>
                  <w:marRight w:val="0"/>
                  <w:marTop w:val="0"/>
                  <w:marBottom w:val="0"/>
                  <w:divBdr>
                    <w:top w:val="none" w:sz="0" w:space="0" w:color="auto"/>
                    <w:left w:val="none" w:sz="0" w:space="0" w:color="auto"/>
                    <w:bottom w:val="none" w:sz="0" w:space="0" w:color="auto"/>
                    <w:right w:val="none" w:sz="0" w:space="0" w:color="auto"/>
                  </w:divBdr>
                </w:div>
                <w:div w:id="1045788392">
                  <w:marLeft w:val="0"/>
                  <w:marRight w:val="0"/>
                  <w:marTop w:val="0"/>
                  <w:marBottom w:val="0"/>
                  <w:divBdr>
                    <w:top w:val="none" w:sz="0" w:space="0" w:color="auto"/>
                    <w:left w:val="none" w:sz="0" w:space="0" w:color="auto"/>
                    <w:bottom w:val="none" w:sz="0" w:space="0" w:color="auto"/>
                    <w:right w:val="none" w:sz="0" w:space="0" w:color="auto"/>
                  </w:divBdr>
                </w:div>
                <w:div w:id="1225411994">
                  <w:marLeft w:val="0"/>
                  <w:marRight w:val="0"/>
                  <w:marTop w:val="0"/>
                  <w:marBottom w:val="0"/>
                  <w:divBdr>
                    <w:top w:val="none" w:sz="0" w:space="0" w:color="auto"/>
                    <w:left w:val="none" w:sz="0" w:space="0" w:color="auto"/>
                    <w:bottom w:val="none" w:sz="0" w:space="0" w:color="auto"/>
                    <w:right w:val="none" w:sz="0" w:space="0" w:color="auto"/>
                  </w:divBdr>
                </w:div>
                <w:div w:id="1275357110">
                  <w:marLeft w:val="0"/>
                  <w:marRight w:val="0"/>
                  <w:marTop w:val="0"/>
                  <w:marBottom w:val="0"/>
                  <w:divBdr>
                    <w:top w:val="none" w:sz="0" w:space="0" w:color="auto"/>
                    <w:left w:val="none" w:sz="0" w:space="0" w:color="auto"/>
                    <w:bottom w:val="none" w:sz="0" w:space="0" w:color="auto"/>
                    <w:right w:val="none" w:sz="0" w:space="0" w:color="auto"/>
                  </w:divBdr>
                </w:div>
                <w:div w:id="1541476655">
                  <w:marLeft w:val="0"/>
                  <w:marRight w:val="0"/>
                  <w:marTop w:val="0"/>
                  <w:marBottom w:val="0"/>
                  <w:divBdr>
                    <w:top w:val="none" w:sz="0" w:space="0" w:color="auto"/>
                    <w:left w:val="none" w:sz="0" w:space="0" w:color="auto"/>
                    <w:bottom w:val="none" w:sz="0" w:space="0" w:color="auto"/>
                    <w:right w:val="none" w:sz="0" w:space="0" w:color="auto"/>
                  </w:divBdr>
                </w:div>
                <w:div w:id="1667973974">
                  <w:marLeft w:val="0"/>
                  <w:marRight w:val="0"/>
                  <w:marTop w:val="0"/>
                  <w:marBottom w:val="0"/>
                  <w:divBdr>
                    <w:top w:val="none" w:sz="0" w:space="0" w:color="auto"/>
                    <w:left w:val="none" w:sz="0" w:space="0" w:color="auto"/>
                    <w:bottom w:val="none" w:sz="0" w:space="0" w:color="auto"/>
                    <w:right w:val="none" w:sz="0" w:space="0" w:color="auto"/>
                  </w:divBdr>
                </w:div>
                <w:div w:id="1781953899">
                  <w:marLeft w:val="0"/>
                  <w:marRight w:val="0"/>
                  <w:marTop w:val="0"/>
                  <w:marBottom w:val="0"/>
                  <w:divBdr>
                    <w:top w:val="none" w:sz="0" w:space="0" w:color="auto"/>
                    <w:left w:val="none" w:sz="0" w:space="0" w:color="auto"/>
                    <w:bottom w:val="none" w:sz="0" w:space="0" w:color="auto"/>
                    <w:right w:val="none" w:sz="0" w:space="0" w:color="auto"/>
                  </w:divBdr>
                </w:div>
                <w:div w:id="18407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arch.unimelb.edu.au/s/redirect?collection=global&amp;url=https%3A%2F%2Fsafety.unimelb.edu.au%2F__data%2Fassets%2Fpdf_file%2F0007%2F1705912%2Fhealth-and-safety-managing-spills.pdf&amp;auth=CNUETa6riAaT%2FUVS4b86pQ&amp;profile=_default&amp;rank=1&amp;query=Health+%26+Safety%3A+Managing+spil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ty.unimelb.edu.au/__data/assets/word_doc/0003/4592154/health-and-safety-ionising-radiation-requirement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afety.unimelb.edu.au/__data/assets/word_doc/0003/4592154/health-and-safety-ionising-radiation-requirement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unimelb.edu.au/__data/assets/pdf_file/0006/4689411/chemical-management-guidelines.pdf" TargetMode="External"/><Relationship Id="rId5" Type="http://schemas.openxmlformats.org/officeDocument/2006/relationships/webSettings" Target="webSettings.xml"/><Relationship Id="rId15" Type="http://schemas.openxmlformats.org/officeDocument/2006/relationships/hyperlink" Target="https://safety.unimelb.edu.au/__data/assets/pdf_file/0007/1705912/health-and-safety-managing-spills.pdf" TargetMode="External"/><Relationship Id="rId10" Type="http://schemas.openxmlformats.org/officeDocument/2006/relationships/hyperlink" Target="https://search.unimelb.edu.au/s/redirect?collection=global&amp;url=https%3A%2F%2Fsafety.unimelb.edu.au%2F__data%2Fassets%2Fword_doc%2F0007%2F1805992%2Fhealth-and-safety-chemical-requirements.docx&amp;auth=LD61DY5Wue3afnsZOS9O%2Fw&amp;profile=_default&amp;rank=3&amp;query=Health+%26+Safety%3A+Chemical+requirements"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earch.unimelb.edu.au/s/redirect?collection=global&amp;url=https%3A%2F%2Fsafety.unimelb.edu.au%2F__data%2Fassets%2Fword_doc%2F0007%2F1805992%2Fhealth-and-safety-chemical-requirements.docx&amp;auth=LD61DY5Wue3afnsZOS9O%2Fw&amp;profile=_default&amp;rank=3&amp;query=Health+%26+Safety%3A+Chemical+requiremen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6F1E30D-B7E1-42DE-9C3F-5ADE2C9A5F2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Spill control - OHS requirements procedure</vt:lpstr>
    </vt:vector>
  </TitlesOfParts>
  <Company>The University of Melbourne</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Spill control - OHS requirements procedure</dc:title>
  <dc:creator>OHS and Injury Management</dc:creator>
  <cp:lastModifiedBy>Kira Goodman</cp:lastModifiedBy>
  <cp:revision>2</cp:revision>
  <dcterms:created xsi:type="dcterms:W3CDTF">2023-08-08T22:59:00Z</dcterms:created>
  <dcterms:modified xsi:type="dcterms:W3CDTF">2023-08-08T22:59:00Z</dcterms:modified>
</cp:coreProperties>
</file>