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ook w:val="04A0" w:firstRow="1" w:lastRow="0" w:firstColumn="1" w:lastColumn="0" w:noHBand="0" w:noVBand="1"/>
      </w:tblPr>
      <w:tblGrid>
        <w:gridCol w:w="1979"/>
        <w:gridCol w:w="9176"/>
      </w:tblGrid>
      <w:tr w:rsidR="00D33299" w14:paraId="3B5364E7" w14:textId="77777777" w:rsidTr="00B86A3A">
        <w:trPr>
          <w:trHeight w:val="1587"/>
        </w:trPr>
        <w:tc>
          <w:tcPr>
            <w:tcW w:w="1979" w:type="dxa"/>
            <w:shd w:val="clear" w:color="auto" w:fill="094183"/>
            <w:vAlign w:val="center"/>
          </w:tcPr>
          <w:p w14:paraId="3B5364E4" w14:textId="77777777" w:rsidR="00D33299" w:rsidRDefault="002444A5" w:rsidP="0062538C"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B53654A" wp14:editId="3B53654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6" w:type="dxa"/>
            <w:shd w:val="clear" w:color="auto" w:fill="094183"/>
            <w:vAlign w:val="center"/>
          </w:tcPr>
          <w:p w14:paraId="3B5364E5" w14:textId="77777777" w:rsidR="00D33299" w:rsidRDefault="00D33299" w:rsidP="00FA6567">
            <w:pPr>
              <w:pStyle w:val="Style1"/>
            </w:pPr>
            <w:r>
              <w:t>health &amp; safety</w:t>
            </w:r>
          </w:p>
          <w:p w14:paraId="3B5364E6" w14:textId="2C92C05A" w:rsidR="00D33299" w:rsidRDefault="00DD1D18" w:rsidP="00791EA1">
            <w:pPr>
              <w:pStyle w:val="Style2"/>
            </w:pPr>
            <w:r>
              <w:t>Reproductive Health Requirement</w:t>
            </w:r>
            <w:r w:rsidR="005B1DD5">
              <w:t>s</w:t>
            </w:r>
          </w:p>
        </w:tc>
      </w:tr>
    </w:tbl>
    <w:p w14:paraId="3B5364E8" w14:textId="77777777" w:rsidR="0083423F" w:rsidRDefault="00C91486" w:rsidP="00C91486">
      <w:pPr>
        <w:pStyle w:val="Heading1"/>
        <w:ind w:left="902" w:hanging="902"/>
      </w:pPr>
      <w:r>
        <w:t>Purpose</w:t>
      </w:r>
    </w:p>
    <w:p w14:paraId="7A849E7F" w14:textId="0746E1A4" w:rsidR="00B5742E" w:rsidRPr="00964989" w:rsidRDefault="00B5742E" w:rsidP="00964989">
      <w:r w:rsidRPr="00964989">
        <w:t xml:space="preserve">To provide guidelines and information to staff and supervisors of staff who may be pregnant, or planning a pregnancy, while working with potentially harmful substances. </w:t>
      </w:r>
    </w:p>
    <w:p w14:paraId="3B5364EA" w14:textId="77777777" w:rsidR="00D33299" w:rsidRDefault="00C91486" w:rsidP="00C91486">
      <w:pPr>
        <w:pStyle w:val="Heading1"/>
        <w:ind w:left="902" w:hanging="902"/>
      </w:pPr>
      <w:r>
        <w:t>Scope</w:t>
      </w:r>
    </w:p>
    <w:p w14:paraId="3B5364EB" w14:textId="4CEA0E6D" w:rsidR="00C91486" w:rsidRDefault="00D427E4" w:rsidP="00C91486">
      <w:r w:rsidRPr="00D427E4">
        <w:t>This procedure applies to all staff, students, contractors and other personnel at workplaces under the management or control of the University of Melbourne.</w:t>
      </w:r>
    </w:p>
    <w:p w14:paraId="3B5364EC" w14:textId="77777777" w:rsidR="00C91486" w:rsidRDefault="00C91486" w:rsidP="00C91486">
      <w:pPr>
        <w:pStyle w:val="Heading1"/>
        <w:ind w:left="902" w:hanging="902"/>
      </w:pPr>
      <w:r>
        <w:t>DEFINITIONS</w:t>
      </w:r>
    </w:p>
    <w:p w14:paraId="1335D3B5" w14:textId="77777777" w:rsidR="00D17C41" w:rsidRPr="008E21F3" w:rsidRDefault="00D17C41" w:rsidP="008E21F3">
      <w:pPr>
        <w:rPr>
          <w:b/>
        </w:rPr>
      </w:pPr>
      <w:r w:rsidRPr="008E21F3">
        <w:rPr>
          <w:b/>
        </w:rPr>
        <w:t>1mSv</w:t>
      </w:r>
    </w:p>
    <w:p w14:paraId="1307737D" w14:textId="43E8B7DC" w:rsidR="00D17C41" w:rsidRPr="008E21F3" w:rsidRDefault="00D17C41" w:rsidP="008E21F3">
      <w:r w:rsidRPr="008E21F3">
        <w:t>1 milli Sievert is a measure of radiation dose</w:t>
      </w:r>
    </w:p>
    <w:p w14:paraId="1FE646BF" w14:textId="1D09D6A3" w:rsidR="00D17C41" w:rsidRPr="008E21F3" w:rsidRDefault="00D17C41" w:rsidP="008E21F3">
      <w:pPr>
        <w:rPr>
          <w:b/>
        </w:rPr>
      </w:pPr>
      <w:r w:rsidRPr="008E21F3">
        <w:rPr>
          <w:b/>
        </w:rPr>
        <w:t>SDS</w:t>
      </w:r>
    </w:p>
    <w:p w14:paraId="6034DA09" w14:textId="76520723" w:rsidR="00D17C41" w:rsidRPr="008E21F3" w:rsidRDefault="008E21F3" w:rsidP="008E21F3">
      <w:r>
        <w:t>S</w:t>
      </w:r>
      <w:r w:rsidR="00D17C41" w:rsidRPr="008E21F3">
        <w:t xml:space="preserve">afety data sheet </w:t>
      </w:r>
    </w:p>
    <w:p w14:paraId="3B5364F1" w14:textId="77777777" w:rsidR="00C91486" w:rsidRDefault="00C91486" w:rsidP="00C91486">
      <w:pPr>
        <w:pStyle w:val="Heading1"/>
        <w:ind w:left="902" w:hanging="902"/>
      </w:pPr>
      <w:r>
        <w:t>Requirements</w:t>
      </w:r>
    </w:p>
    <w:p w14:paraId="3B5364F2" w14:textId="2DB348C7" w:rsidR="00C91486" w:rsidRDefault="00B37325" w:rsidP="00C91486">
      <w:pPr>
        <w:pStyle w:val="Heading2"/>
        <w:ind w:left="900" w:hanging="900"/>
      </w:pPr>
      <w:r>
        <w:t>General</w:t>
      </w:r>
    </w:p>
    <w:p w14:paraId="067C93DC" w14:textId="555BE7DA" w:rsidR="008E21F3" w:rsidRPr="008E21F3" w:rsidRDefault="008E21F3" w:rsidP="008E21F3">
      <w:pPr>
        <w:spacing w:before="240"/>
      </w:pPr>
      <w:r w:rsidRPr="008E21F3">
        <w:t xml:space="preserve">The manager/supervisor </w:t>
      </w:r>
      <w:r>
        <w:t>shall</w:t>
      </w:r>
      <w:r w:rsidRPr="008E21F3">
        <w:t xml:space="preserve"> address concerns from employees regarding potential workplace reproductive hazards by undertaking appropriate risk assessments and control measures. </w:t>
      </w:r>
    </w:p>
    <w:p w14:paraId="74410488" w14:textId="37D8700F" w:rsidR="008E21F3" w:rsidRPr="008E21F3" w:rsidRDefault="008E21F3" w:rsidP="008E21F3">
      <w:r w:rsidRPr="008E21F3">
        <w:t>Depending on the nature of the work and the associated risks, modified or alternative duties may be provided for pregnant staff or student</w:t>
      </w:r>
      <w:r w:rsidR="0050789E">
        <w:t>s</w:t>
      </w:r>
      <w:r w:rsidRPr="008E21F3">
        <w:t xml:space="preserve">. </w:t>
      </w:r>
    </w:p>
    <w:p w14:paraId="5610DE5C" w14:textId="28053D83" w:rsidR="00590831" w:rsidRDefault="00590831" w:rsidP="00590831">
      <w:pPr>
        <w:pStyle w:val="Heading2"/>
        <w:ind w:left="900" w:hanging="900"/>
      </w:pPr>
      <w:r>
        <w:t>Chemicals</w:t>
      </w:r>
    </w:p>
    <w:p w14:paraId="091BF23E" w14:textId="5CF2E032" w:rsidR="00461E4E" w:rsidRPr="00461E4E" w:rsidRDefault="00461E4E" w:rsidP="00461E4E">
      <w:pPr>
        <w:spacing w:before="240"/>
      </w:pPr>
      <w:r w:rsidRPr="00461E4E">
        <w:t xml:space="preserve">The manager/supervisor </w:t>
      </w:r>
      <w:r>
        <w:t>shall</w:t>
      </w:r>
      <w:r w:rsidRPr="00461E4E">
        <w:t xml:space="preserve"> determine whether chemicals used in the work area could create a risk to pregnant staff or students.</w:t>
      </w:r>
      <w:r>
        <w:t xml:space="preserve"> </w:t>
      </w:r>
      <w:r w:rsidRPr="00461E4E">
        <w:t xml:space="preserve"> </w:t>
      </w:r>
      <w:r>
        <w:t>Safety</w:t>
      </w:r>
      <w:r w:rsidRPr="00461E4E">
        <w:t xml:space="preserve"> data sheets must be kept for all chemicals used or stored in a workplace.</w:t>
      </w:r>
    </w:p>
    <w:p w14:paraId="1028EFDF" w14:textId="77777777" w:rsidR="00461E4E" w:rsidRPr="00461E4E" w:rsidRDefault="00461E4E" w:rsidP="00D5343E">
      <w:pPr>
        <w:pStyle w:val="Heading3"/>
        <w:ind w:left="902" w:hanging="902"/>
      </w:pPr>
      <w:r w:rsidRPr="00461E4E">
        <w:t xml:space="preserve">Limiting exposure </w:t>
      </w:r>
    </w:p>
    <w:p w14:paraId="0D86EC19" w14:textId="14F578D5" w:rsidR="00461E4E" w:rsidRPr="00461E4E" w:rsidRDefault="00461E4E" w:rsidP="00461E4E">
      <w:r w:rsidRPr="00461E4E">
        <w:t>Limiting chemical exposure levels below recognised exposure limits (as determined by the ACGIH Threshold limit values and biological exposure indices) should not present a health risk to the unborn foetus. A risk assessment should be undertaken to ensure that levels are below exposure limits. The SDS should be included in the risk assessment process.</w:t>
      </w:r>
    </w:p>
    <w:p w14:paraId="5C8D5D37" w14:textId="251BC423" w:rsidR="00D5343E" w:rsidRDefault="00461E4E" w:rsidP="00461E4E">
      <w:r w:rsidRPr="00461E4E">
        <w:t>Further advice can be sought from</w:t>
      </w:r>
      <w:r w:rsidR="004E5342">
        <w:t xml:space="preserve">:  </w:t>
      </w:r>
      <w:hyperlink r:id="rId13" w:history="1">
        <w:r w:rsidR="00340762" w:rsidRPr="00CE5880">
          <w:rPr>
            <w:rStyle w:val="Hyperlink"/>
          </w:rPr>
          <w:t>ohs-enquiries@unimelb.edu.au</w:t>
        </w:r>
      </w:hyperlink>
    </w:p>
    <w:p w14:paraId="7B505D16" w14:textId="77777777" w:rsidR="00340762" w:rsidRPr="00DA4C37" w:rsidRDefault="00340762" w:rsidP="00461E4E">
      <w:pPr>
        <w:rPr>
          <w:rStyle w:val="Hyperlink"/>
        </w:rPr>
      </w:pPr>
    </w:p>
    <w:p w14:paraId="2E86A8E4" w14:textId="33762597" w:rsidR="00461E4E" w:rsidRPr="00461E4E" w:rsidRDefault="008C0405" w:rsidP="00DA4C37">
      <w:pPr>
        <w:pStyle w:val="Heading3"/>
        <w:ind w:left="902" w:hanging="902"/>
      </w:pPr>
      <w:r>
        <w:lastRenderedPageBreak/>
        <w:t>Local procedure</w:t>
      </w:r>
      <w:r w:rsidR="00950D3E">
        <w:t>s</w:t>
      </w:r>
    </w:p>
    <w:p w14:paraId="7F0A0C70" w14:textId="1E17CF9E" w:rsidR="00461E4E" w:rsidRPr="00461E4E" w:rsidRDefault="00461E4E" w:rsidP="00461E4E">
      <w:r w:rsidRPr="00461E4E">
        <w:t xml:space="preserve">When establishing a </w:t>
      </w:r>
      <w:r w:rsidR="00A5788B">
        <w:t>standard operating procedure,</w:t>
      </w:r>
      <w:r w:rsidRPr="00461E4E">
        <w:t xml:space="preserve"> the manager/supervisor </w:t>
      </w:r>
      <w:r w:rsidR="00A5788B">
        <w:t>shall</w:t>
      </w:r>
      <w:r w:rsidRPr="00461E4E">
        <w:t xml:space="preserve"> include:</w:t>
      </w:r>
    </w:p>
    <w:p w14:paraId="3F8C2E2E" w14:textId="25F0C2F4" w:rsidR="00461E4E" w:rsidRPr="00A5788B" w:rsidRDefault="00461E4E" w:rsidP="00A5788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5788B">
        <w:rPr>
          <w:rFonts w:asciiTheme="minorHAnsi" w:hAnsiTheme="minorHAnsi"/>
          <w:sz w:val="22"/>
          <w:szCs w:val="22"/>
        </w:rPr>
        <w:t xml:space="preserve">reviewing current </w:t>
      </w:r>
      <w:r w:rsidR="00A5788B">
        <w:rPr>
          <w:rFonts w:asciiTheme="minorHAnsi" w:hAnsiTheme="minorHAnsi"/>
          <w:sz w:val="22"/>
          <w:szCs w:val="22"/>
        </w:rPr>
        <w:t>local procedures</w:t>
      </w:r>
    </w:p>
    <w:p w14:paraId="7FD48089" w14:textId="12849A2C" w:rsidR="00461E4E" w:rsidRPr="00A5788B" w:rsidRDefault="00461E4E" w:rsidP="00A5788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5788B">
        <w:rPr>
          <w:rFonts w:asciiTheme="minorHAnsi" w:hAnsiTheme="minorHAnsi"/>
          <w:sz w:val="22"/>
          <w:szCs w:val="22"/>
        </w:rPr>
        <w:t>reviewing the SDS to identify possible reproductive hazards presented by a chemical;</w:t>
      </w:r>
    </w:p>
    <w:p w14:paraId="16540235" w14:textId="77777777" w:rsidR="00461E4E" w:rsidRPr="00A5788B" w:rsidRDefault="00461E4E" w:rsidP="00A5788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5788B">
        <w:rPr>
          <w:rFonts w:asciiTheme="minorHAnsi" w:hAnsiTheme="minorHAnsi"/>
          <w:sz w:val="22"/>
          <w:szCs w:val="22"/>
        </w:rPr>
        <w:t>eliminating or replacing the chemical for a less hazardous chemical if able to do so;</w:t>
      </w:r>
    </w:p>
    <w:p w14:paraId="2FE5573D" w14:textId="77777777" w:rsidR="00461E4E" w:rsidRPr="00A5788B" w:rsidRDefault="00461E4E" w:rsidP="00A5788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5788B">
        <w:rPr>
          <w:rFonts w:asciiTheme="minorHAnsi" w:hAnsiTheme="minorHAnsi"/>
          <w:sz w:val="22"/>
          <w:szCs w:val="22"/>
        </w:rPr>
        <w:t>using (where applicable) a fume cupboard;</w:t>
      </w:r>
    </w:p>
    <w:p w14:paraId="0C508A8B" w14:textId="77777777" w:rsidR="00461E4E" w:rsidRPr="00A5788B" w:rsidRDefault="00461E4E" w:rsidP="00A5788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5788B">
        <w:rPr>
          <w:rFonts w:asciiTheme="minorHAnsi" w:hAnsiTheme="minorHAnsi"/>
          <w:sz w:val="22"/>
          <w:szCs w:val="22"/>
        </w:rPr>
        <w:t>avoiding contact by inhalation by only using chemicals in a containment hood;</w:t>
      </w:r>
    </w:p>
    <w:p w14:paraId="08DF9FA3" w14:textId="77777777" w:rsidR="00461E4E" w:rsidRPr="00A5788B" w:rsidRDefault="00461E4E" w:rsidP="00A5788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5788B">
        <w:rPr>
          <w:rFonts w:asciiTheme="minorHAnsi" w:hAnsiTheme="minorHAnsi"/>
          <w:sz w:val="22"/>
          <w:szCs w:val="22"/>
        </w:rPr>
        <w:t>storing chemicals in sealed containers when they are not in use;</w:t>
      </w:r>
    </w:p>
    <w:p w14:paraId="05FBD8FB" w14:textId="77777777" w:rsidR="00461E4E" w:rsidRPr="00A5788B" w:rsidRDefault="00461E4E" w:rsidP="00A5788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5788B">
        <w:rPr>
          <w:rFonts w:asciiTheme="minorHAnsi" w:hAnsiTheme="minorHAnsi"/>
          <w:sz w:val="22"/>
          <w:szCs w:val="22"/>
        </w:rPr>
        <w:t>using appropriate personal protective equipment such as gloves, gown and a mask;</w:t>
      </w:r>
    </w:p>
    <w:p w14:paraId="29BFC178" w14:textId="77777777" w:rsidR="00461E4E" w:rsidRPr="00A5788B" w:rsidRDefault="00461E4E" w:rsidP="00A5788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5788B">
        <w:rPr>
          <w:rFonts w:asciiTheme="minorHAnsi" w:hAnsiTheme="minorHAnsi"/>
          <w:sz w:val="22"/>
          <w:szCs w:val="22"/>
        </w:rPr>
        <w:t>washing hands after contact with any laboratory reagents; and</w:t>
      </w:r>
    </w:p>
    <w:p w14:paraId="3C6DD97B" w14:textId="77777777" w:rsidR="00461E4E" w:rsidRPr="00A5788B" w:rsidRDefault="00461E4E" w:rsidP="00A5788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5788B">
        <w:rPr>
          <w:rFonts w:asciiTheme="minorHAnsi" w:hAnsiTheme="minorHAnsi"/>
          <w:sz w:val="22"/>
          <w:szCs w:val="22"/>
        </w:rPr>
        <w:t xml:space="preserve">participating in training and education programs provided for chemical safety. </w:t>
      </w:r>
    </w:p>
    <w:p w14:paraId="45FCCAF1" w14:textId="23405FCA" w:rsidR="00A5788B" w:rsidRDefault="00A5788B" w:rsidP="006D3B79">
      <w:pPr>
        <w:pStyle w:val="Heading2"/>
        <w:spacing w:before="240"/>
        <w:ind w:left="900" w:hanging="900"/>
      </w:pPr>
      <w:r>
        <w:t xml:space="preserve">Ionising </w:t>
      </w:r>
      <w:r w:rsidR="006D3B79">
        <w:t>radiation</w:t>
      </w:r>
    </w:p>
    <w:p w14:paraId="4967E622" w14:textId="7CFFBCD8" w:rsidR="00937F89" w:rsidRPr="00937F89" w:rsidRDefault="00937F89" w:rsidP="00937F89">
      <w:pPr>
        <w:spacing w:before="240"/>
      </w:pPr>
      <w:r w:rsidRPr="00937F89">
        <w:t xml:space="preserve">When a staff member/student declares their pregnancy, the manager/supervisor </w:t>
      </w:r>
      <w:r>
        <w:t>shall</w:t>
      </w:r>
      <w:r w:rsidRPr="00937F89">
        <w:t xml:space="preserve"> determine whether the use of ionising radiation in the work area could create a risk to the staff member/student.</w:t>
      </w:r>
    </w:p>
    <w:p w14:paraId="31F47660" w14:textId="77777777" w:rsidR="00937F89" w:rsidRPr="00937F89" w:rsidRDefault="00937F89" w:rsidP="00937F89">
      <w:pPr>
        <w:pStyle w:val="Heading3"/>
        <w:ind w:left="902" w:hanging="902"/>
      </w:pPr>
      <w:r w:rsidRPr="00937F89">
        <w:t xml:space="preserve">Limiting exposure </w:t>
      </w:r>
    </w:p>
    <w:p w14:paraId="0A6E1A6B" w14:textId="6C8AC3F6" w:rsidR="00937F89" w:rsidRPr="00937F89" w:rsidRDefault="00937F89" w:rsidP="00937F89">
      <w:pPr>
        <w:spacing w:before="240"/>
      </w:pPr>
      <w:r w:rsidRPr="00937F89">
        <w:t>Radiation dose limits for pregnant staff/students must be no more than that of a member of the general public. Therefore, the dose limit is 1 mSv per year.</w:t>
      </w:r>
      <w:r>
        <w:t xml:space="preserve"> </w:t>
      </w:r>
      <w:r w:rsidRPr="00937F89">
        <w:t xml:space="preserve"> A risk assessment should be undertaken to ensure that the dose received is limited to no higher than 1 mSv per year. In the case of open sources</w:t>
      </w:r>
      <w:r>
        <w:t>.</w:t>
      </w:r>
    </w:p>
    <w:p w14:paraId="3CF830AC" w14:textId="4B6548C9" w:rsidR="00937F89" w:rsidRPr="00937F89" w:rsidRDefault="00937F89" w:rsidP="00937F89">
      <w:pPr>
        <w:spacing w:before="240"/>
      </w:pPr>
      <w:r w:rsidRPr="00937F89">
        <w:t xml:space="preserve">Further advice can be sought from the department radiation safety officer </w:t>
      </w:r>
      <w:r w:rsidR="00447487">
        <w:t>(DRSO)</w:t>
      </w:r>
      <w:r w:rsidR="005A707D">
        <w:t xml:space="preserve"> </w:t>
      </w:r>
      <w:r w:rsidRPr="00937F89">
        <w:t xml:space="preserve">or the University Radiation Safety Advisor. </w:t>
      </w:r>
    </w:p>
    <w:p w14:paraId="186FF9FF" w14:textId="77777777" w:rsidR="00937F89" w:rsidRPr="00937F89" w:rsidRDefault="00937F89" w:rsidP="00937F89">
      <w:pPr>
        <w:spacing w:before="240"/>
      </w:pPr>
      <w:r w:rsidRPr="00937F89">
        <w:t>Where there may be exposure to a neutron source, the University Radiation Safety Advisor must be contacted before the pregnant individual works in this area.</w:t>
      </w:r>
    </w:p>
    <w:p w14:paraId="1AD6785E" w14:textId="7D2E6763" w:rsidR="00937F89" w:rsidRPr="00447487" w:rsidRDefault="00AE3A17" w:rsidP="00447487">
      <w:pPr>
        <w:pStyle w:val="Heading3"/>
        <w:ind w:left="902" w:hanging="902"/>
      </w:pPr>
      <w:r>
        <w:t>Local procedures</w:t>
      </w:r>
    </w:p>
    <w:p w14:paraId="30D461A0" w14:textId="1C4EDE5F" w:rsidR="00937F89" w:rsidRPr="00AE3A17" w:rsidRDefault="00AE3A17" w:rsidP="00AE3A17">
      <w:pPr>
        <w:spacing w:before="240"/>
      </w:pPr>
      <w:r w:rsidRPr="00461E4E">
        <w:t xml:space="preserve">When establishing a </w:t>
      </w:r>
      <w:r>
        <w:t>standard operating procedure,</w:t>
      </w:r>
      <w:r w:rsidRPr="00461E4E">
        <w:t xml:space="preserve"> the manager/supervisor </w:t>
      </w:r>
      <w:r>
        <w:t>shall</w:t>
      </w:r>
      <w:r w:rsidRPr="00461E4E">
        <w:t xml:space="preserve"> include:</w:t>
      </w:r>
    </w:p>
    <w:p w14:paraId="5EB208CC" w14:textId="77777777" w:rsidR="00937F89" w:rsidRPr="00AE3A17" w:rsidRDefault="00937F89" w:rsidP="00AE3A17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E3A17">
        <w:rPr>
          <w:rFonts w:asciiTheme="minorHAnsi" w:hAnsiTheme="minorHAnsi"/>
          <w:sz w:val="22"/>
          <w:szCs w:val="22"/>
        </w:rPr>
        <w:t>reviewing current safe work procedures;</w:t>
      </w:r>
    </w:p>
    <w:p w14:paraId="6F08537F" w14:textId="77777777" w:rsidR="00937F89" w:rsidRPr="00AE3A17" w:rsidRDefault="00937F89" w:rsidP="00AE3A17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E3A17">
        <w:rPr>
          <w:rFonts w:asciiTheme="minorHAnsi" w:hAnsiTheme="minorHAnsi"/>
          <w:sz w:val="22"/>
          <w:szCs w:val="22"/>
        </w:rPr>
        <w:t>reviewing staff badge results to identify expected levels of exposure to the activity;</w:t>
      </w:r>
    </w:p>
    <w:p w14:paraId="2D7823BA" w14:textId="46F51427" w:rsidR="00937F89" w:rsidRPr="00AE3A17" w:rsidRDefault="00937F89" w:rsidP="00AE3A17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E3A17">
        <w:rPr>
          <w:rFonts w:asciiTheme="minorHAnsi" w:hAnsiTheme="minorHAnsi"/>
          <w:sz w:val="22"/>
          <w:szCs w:val="22"/>
        </w:rPr>
        <w:t xml:space="preserve">reviewing the SDS </w:t>
      </w:r>
      <w:r w:rsidR="00AE3A17">
        <w:rPr>
          <w:rFonts w:asciiTheme="minorHAnsi" w:hAnsiTheme="minorHAnsi"/>
          <w:sz w:val="22"/>
          <w:szCs w:val="22"/>
        </w:rPr>
        <w:t xml:space="preserve">(if an open source) </w:t>
      </w:r>
      <w:r w:rsidRPr="00AE3A17">
        <w:rPr>
          <w:rFonts w:asciiTheme="minorHAnsi" w:hAnsiTheme="minorHAnsi"/>
          <w:sz w:val="22"/>
          <w:szCs w:val="22"/>
        </w:rPr>
        <w:t>to identify possible reproductive hazards presented by an open source;</w:t>
      </w:r>
    </w:p>
    <w:p w14:paraId="74FF6252" w14:textId="2DE797FB" w:rsidR="00937F89" w:rsidRPr="00AE3A17" w:rsidRDefault="00937F89" w:rsidP="00AE3A17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E3A17">
        <w:rPr>
          <w:rFonts w:asciiTheme="minorHAnsi" w:hAnsiTheme="minorHAnsi"/>
          <w:sz w:val="22"/>
          <w:szCs w:val="22"/>
        </w:rPr>
        <w:t>monitoring the working area, staff and students, before and after use, with a suitable meter;</w:t>
      </w:r>
      <w:r w:rsidR="00AE3A17">
        <w:rPr>
          <w:rFonts w:asciiTheme="minorHAnsi" w:hAnsiTheme="minorHAnsi"/>
          <w:sz w:val="22"/>
          <w:szCs w:val="22"/>
        </w:rPr>
        <w:t xml:space="preserve"> and</w:t>
      </w:r>
    </w:p>
    <w:p w14:paraId="046BD622" w14:textId="3B33C863" w:rsidR="00937F89" w:rsidRDefault="00937F89" w:rsidP="00AE3A17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E3A17">
        <w:rPr>
          <w:rFonts w:asciiTheme="minorHAnsi" w:hAnsiTheme="minorHAnsi"/>
          <w:sz w:val="22"/>
          <w:szCs w:val="22"/>
        </w:rPr>
        <w:t>avoiding exposure by applying the principles of time, distance and shielding.</w:t>
      </w:r>
    </w:p>
    <w:p w14:paraId="4C9B46DF" w14:textId="61D7FF18" w:rsidR="00560DD1" w:rsidRDefault="00560DD1" w:rsidP="00560DD1">
      <w:pPr>
        <w:pStyle w:val="Heading2"/>
        <w:spacing w:before="240"/>
        <w:ind w:left="900" w:hanging="900"/>
      </w:pPr>
      <w:r>
        <w:t>Biological</w:t>
      </w:r>
    </w:p>
    <w:p w14:paraId="36622931" w14:textId="463221B0" w:rsidR="00C5667C" w:rsidRDefault="00C5667C" w:rsidP="00C5667C">
      <w:pPr>
        <w:spacing w:before="240"/>
      </w:pPr>
      <w:r>
        <w:t xml:space="preserve">For information regarding biological exposures and </w:t>
      </w:r>
      <w:r w:rsidR="00765BF9">
        <w:t>reproductive health</w:t>
      </w:r>
      <w:r>
        <w:t>, refer to th</w:t>
      </w:r>
      <w:r w:rsidR="00724429">
        <w:t>e</w:t>
      </w:r>
      <w:r w:rsidR="00A81575">
        <w:rPr>
          <w:rFonts w:ascii="Helvetica" w:hAnsi="Helvetica"/>
          <w:color w:val="000000"/>
          <w:spacing w:val="3"/>
          <w:shd w:val="clear" w:color="auto" w:fill="FFFFFF"/>
        </w:rPr>
        <w:t xml:space="preserve"> </w:t>
      </w:r>
      <w:hyperlink r:id="rId14" w:tgtFrame="_blank" w:history="1">
        <w:r w:rsidR="00A81575" w:rsidRPr="00A81575">
          <w:rPr>
            <w:rStyle w:val="Hyperlink"/>
          </w:rPr>
          <w:t>Bios</w:t>
        </w:r>
        <w:r w:rsidR="00A81575" w:rsidRPr="00A81575">
          <w:rPr>
            <w:rStyle w:val="Hyperlink"/>
          </w:rPr>
          <w:t>a</w:t>
        </w:r>
        <w:r w:rsidR="00A81575" w:rsidRPr="00A81575">
          <w:rPr>
            <w:rStyle w:val="Hyperlink"/>
          </w:rPr>
          <w:t>fety</w:t>
        </w:r>
        <w:r w:rsidR="00A81575" w:rsidRPr="00A81575">
          <w:rPr>
            <w:rStyle w:val="Hyperlink"/>
          </w:rPr>
          <w:t xml:space="preserve"> </w:t>
        </w:r>
        <w:r w:rsidR="00A81575" w:rsidRPr="00A81575">
          <w:rPr>
            <w:rStyle w:val="Hyperlink"/>
          </w:rPr>
          <w:t>page</w:t>
        </w:r>
      </w:hyperlink>
      <w:r w:rsidR="00724429">
        <w:t>.</w:t>
      </w:r>
    </w:p>
    <w:p w14:paraId="3B536504" w14:textId="77777777" w:rsidR="00C91486" w:rsidRDefault="00C91486" w:rsidP="00C91486">
      <w:pPr>
        <w:pStyle w:val="Heading1"/>
        <w:ind w:left="902" w:hanging="902"/>
      </w:pPr>
      <w:r>
        <w:lastRenderedPageBreak/>
        <w:t>References</w:t>
      </w:r>
    </w:p>
    <w:p w14:paraId="3B536505" w14:textId="77777777" w:rsidR="00C91486" w:rsidRPr="00BB280F" w:rsidRDefault="00C91486" w:rsidP="00C91486">
      <w:pPr>
        <w:spacing w:before="240"/>
      </w:pPr>
      <w:r w:rsidRPr="00061A1E">
        <w:rPr>
          <w:i/>
        </w:rPr>
        <w:t>Occupational Health and Safety Act 2004</w:t>
      </w:r>
      <w:r w:rsidRPr="00BB280F">
        <w:t xml:space="preserve"> (Vic)</w:t>
      </w:r>
    </w:p>
    <w:p w14:paraId="5F693C3C" w14:textId="72D7DD3E" w:rsidR="000C0130" w:rsidRPr="00BB280F" w:rsidRDefault="000C0130" w:rsidP="00560DD1">
      <w:r w:rsidRPr="00061A1E">
        <w:rPr>
          <w:i/>
        </w:rPr>
        <w:t xml:space="preserve">Occupational Health and Safety </w:t>
      </w:r>
      <w:r>
        <w:rPr>
          <w:i/>
        </w:rPr>
        <w:t>Regulations</w:t>
      </w:r>
      <w:r w:rsidRPr="00061A1E">
        <w:rPr>
          <w:i/>
        </w:rPr>
        <w:t xml:space="preserve"> 20</w:t>
      </w:r>
      <w:r>
        <w:rPr>
          <w:i/>
        </w:rPr>
        <w:t>17</w:t>
      </w:r>
      <w:r w:rsidRPr="00BB280F">
        <w:t xml:space="preserve"> (Vic)</w:t>
      </w:r>
    </w:p>
    <w:p w14:paraId="6DF3AB56" w14:textId="77777777" w:rsidR="00D3536E" w:rsidRPr="00560DD1" w:rsidRDefault="00D3536E" w:rsidP="00560DD1">
      <w:pPr>
        <w:rPr>
          <w:i/>
        </w:rPr>
      </w:pPr>
      <w:r w:rsidRPr="00560DD1">
        <w:rPr>
          <w:i/>
        </w:rPr>
        <w:t>Radiation Act 2005 (Vic)</w:t>
      </w:r>
    </w:p>
    <w:p w14:paraId="38010691" w14:textId="260366C3" w:rsidR="00D3536E" w:rsidRPr="00560DD1" w:rsidRDefault="00D3536E" w:rsidP="00560DD1">
      <w:pPr>
        <w:rPr>
          <w:i/>
        </w:rPr>
      </w:pPr>
      <w:r w:rsidRPr="00560DD1">
        <w:rPr>
          <w:i/>
        </w:rPr>
        <w:t>Radiation Regulations 2017 (Vic)</w:t>
      </w:r>
    </w:p>
    <w:p w14:paraId="1A65BA20" w14:textId="723B34B0" w:rsidR="00D3536E" w:rsidRPr="00560DD1" w:rsidRDefault="00D3536E" w:rsidP="00560DD1">
      <w:pPr>
        <w:rPr>
          <w:i/>
        </w:rPr>
      </w:pPr>
      <w:r w:rsidRPr="00560DD1">
        <w:rPr>
          <w:i/>
        </w:rPr>
        <w:t>AS 2243.</w:t>
      </w:r>
      <w:r w:rsidR="00560DD1" w:rsidRPr="00560DD1">
        <w:rPr>
          <w:i/>
        </w:rPr>
        <w:t>2</w:t>
      </w:r>
      <w:r w:rsidRPr="00560DD1">
        <w:rPr>
          <w:i/>
        </w:rPr>
        <w:t xml:space="preserve">: Safety in laboratories – </w:t>
      </w:r>
      <w:r w:rsidR="00560DD1" w:rsidRPr="00560DD1">
        <w:rPr>
          <w:i/>
        </w:rPr>
        <w:t>Chemical aspects</w:t>
      </w:r>
    </w:p>
    <w:p w14:paraId="66F5799C" w14:textId="77777777" w:rsidR="00E67116" w:rsidRPr="00560DD1" w:rsidRDefault="00E67116" w:rsidP="00560DD1">
      <w:pPr>
        <w:rPr>
          <w:i/>
        </w:rPr>
      </w:pPr>
      <w:r w:rsidRPr="00560DD1">
        <w:rPr>
          <w:i/>
        </w:rPr>
        <w:t>AS 2243.4: Safety in laboratories – Ionizing radiations</w:t>
      </w:r>
    </w:p>
    <w:p w14:paraId="502F3294" w14:textId="77777777" w:rsidR="004058CA" w:rsidRPr="00560DD1" w:rsidRDefault="004058CA" w:rsidP="00560DD1">
      <w:pPr>
        <w:rPr>
          <w:i/>
        </w:rPr>
      </w:pPr>
      <w:r w:rsidRPr="00560DD1">
        <w:rPr>
          <w:i/>
        </w:rPr>
        <w:t>Department of Health and Human Services (National Institute for Occupational Safety and Health), The effects of workplace hazardous substances on female reproductive health (USA)</w:t>
      </w:r>
    </w:p>
    <w:p w14:paraId="3DB4446A" w14:textId="77777777" w:rsidR="004058CA" w:rsidRPr="00560DD1" w:rsidRDefault="004058CA" w:rsidP="00560DD1">
      <w:pPr>
        <w:rPr>
          <w:i/>
        </w:rPr>
      </w:pPr>
      <w:r w:rsidRPr="00560DD1">
        <w:rPr>
          <w:i/>
        </w:rPr>
        <w:t>American Conference of Industrial Hygienists, Threshold limit values and biological exposure indices</w:t>
      </w:r>
    </w:p>
    <w:p w14:paraId="5270EB21" w14:textId="77777777" w:rsidR="0000115D" w:rsidRPr="00560DD1" w:rsidRDefault="004058CA" w:rsidP="00560DD1">
      <w:pPr>
        <w:rPr>
          <w:i/>
        </w:rPr>
      </w:pPr>
      <w:r w:rsidRPr="00560DD1">
        <w:rPr>
          <w:i/>
        </w:rPr>
        <w:t xml:space="preserve">Australian Radiation Protection and Nuclear Safety Agency, Radiation Protection Series F-1:  </w:t>
      </w:r>
      <w:r w:rsidR="0000115D" w:rsidRPr="00560DD1">
        <w:rPr>
          <w:i/>
        </w:rPr>
        <w:t>Fundamentals for Protection Against Ionising Radiation (2014)</w:t>
      </w:r>
    </w:p>
    <w:p w14:paraId="3B536509" w14:textId="77777777" w:rsidR="00C91486" w:rsidRDefault="00C91486" w:rsidP="00C91486">
      <w:pPr>
        <w:pStyle w:val="Heading1"/>
        <w:ind w:left="902" w:hanging="902"/>
      </w:pPr>
      <w:r>
        <w:t>RESPONSIBILITIES</w:t>
      </w:r>
    </w:p>
    <w:p w14:paraId="5AA6C2A6" w14:textId="77777777" w:rsidR="003B6134" w:rsidRPr="003B6134" w:rsidRDefault="003B6134" w:rsidP="00560DD1">
      <w:pPr>
        <w:spacing w:before="240"/>
      </w:pPr>
      <w:r w:rsidRPr="003B6134">
        <w:t>Manager/supervisor</w:t>
      </w:r>
    </w:p>
    <w:p w14:paraId="4A8639B0" w14:textId="77777777" w:rsidR="003B6134" w:rsidRPr="003B6134" w:rsidRDefault="003B6134" w:rsidP="003B6134">
      <w:r w:rsidRPr="003B6134">
        <w:t>Departmental radiation safety officer</w:t>
      </w:r>
    </w:p>
    <w:p w14:paraId="1A5FF78C" w14:textId="77777777" w:rsidR="003B6134" w:rsidRPr="003B6134" w:rsidRDefault="003B6134" w:rsidP="003B6134">
      <w:r w:rsidRPr="003B6134">
        <w:t>University Radiation Safety Advisor</w:t>
      </w:r>
    </w:p>
    <w:p w14:paraId="3B53650E" w14:textId="77777777" w:rsidR="00C91486" w:rsidRDefault="002C01DF" w:rsidP="002C01DF">
      <w:pPr>
        <w:pStyle w:val="Heading1"/>
        <w:ind w:left="902" w:hanging="902"/>
      </w:pPr>
      <w:r>
        <w:t>Associated DOCUMENTATION</w:t>
      </w:r>
    </w:p>
    <w:p w14:paraId="3B53650F" w14:textId="77777777" w:rsidR="002C01DF" w:rsidRDefault="002C01DF" w:rsidP="002C01DF">
      <w:pPr>
        <w:pStyle w:val="Heading2"/>
        <w:ind w:left="900" w:hanging="900"/>
      </w:pPr>
      <w:r>
        <w:t>Processes</w:t>
      </w:r>
    </w:p>
    <w:p w14:paraId="3B536510" w14:textId="75EB59A7" w:rsidR="002C01DF" w:rsidRDefault="00560DD1" w:rsidP="00560DD1">
      <w:pPr>
        <w:spacing w:before="240"/>
      </w:pPr>
      <w:r>
        <w:t>Nil</w:t>
      </w:r>
    </w:p>
    <w:p w14:paraId="3B536512" w14:textId="77777777" w:rsidR="002C01DF" w:rsidRDefault="002C01DF" w:rsidP="002C01DF">
      <w:pPr>
        <w:pStyle w:val="Heading2"/>
        <w:ind w:left="900" w:hanging="900"/>
      </w:pPr>
      <w:r>
        <w:t>Forms</w:t>
      </w:r>
    </w:p>
    <w:p w14:paraId="3B536513" w14:textId="4427FE6A" w:rsidR="002C01DF" w:rsidRDefault="00560DD1" w:rsidP="00560DD1">
      <w:pPr>
        <w:spacing w:before="240"/>
      </w:pPr>
      <w:r>
        <w:t>Nil</w:t>
      </w:r>
    </w:p>
    <w:p w14:paraId="3B536515" w14:textId="77777777" w:rsidR="002C01DF" w:rsidRDefault="002C01DF" w:rsidP="002C01DF">
      <w:pPr>
        <w:pStyle w:val="Heading2"/>
        <w:ind w:left="900" w:hanging="900"/>
      </w:pPr>
      <w:r>
        <w:t>Guidance</w:t>
      </w:r>
    </w:p>
    <w:p w14:paraId="3B536516" w14:textId="784D9E2C" w:rsidR="002C01DF" w:rsidRPr="002C01DF" w:rsidRDefault="00560DD1" w:rsidP="00560DD1">
      <w:pPr>
        <w:spacing w:before="240"/>
      </w:pPr>
      <w:r>
        <w:t>Nil</w:t>
      </w:r>
    </w:p>
    <w:sectPr w:rsidR="002C01DF" w:rsidRPr="002C01DF" w:rsidSect="00D332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97" w:right="397" w:bottom="851" w:left="3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729D" w14:textId="77777777" w:rsidR="008646F8" w:rsidRDefault="008646F8" w:rsidP="00EB3FB2">
      <w:pPr>
        <w:spacing w:after="0" w:line="240" w:lineRule="auto"/>
      </w:pPr>
      <w:r>
        <w:separator/>
      </w:r>
    </w:p>
  </w:endnote>
  <w:endnote w:type="continuationSeparator" w:id="0">
    <w:p w14:paraId="057D9575" w14:textId="77777777" w:rsidR="008646F8" w:rsidRDefault="008646F8" w:rsidP="00E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6E02" w14:textId="77777777" w:rsidR="00C77854" w:rsidRDefault="00C77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6550" w14:textId="7B896166" w:rsidR="00EB3FB2" w:rsidRPr="00897C96" w:rsidRDefault="00EB3FB2" w:rsidP="00EB3FB2">
    <w:pPr>
      <w:pStyle w:val="footertext"/>
      <w:pBdr>
        <w:bottom w:val="single" w:sz="4" w:space="1" w:color="auto"/>
      </w:pBdr>
      <w:tabs>
        <w:tab w:val="right" w:pos="11113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  <w:rFonts w:eastAsiaTheme="majorEastAsia"/>
      </w:rPr>
      <w:t xml:space="preserve">Health &amp; safety: </w:t>
    </w:r>
    <w:r w:rsidR="00C168C6">
      <w:rPr>
        <w:rStyle w:val="footerdocheaderChar"/>
        <w:rFonts w:eastAsiaTheme="majorEastAsia"/>
      </w:rPr>
      <w:t>Reproductive Health Requirements</w:t>
    </w:r>
    <w:r w:rsidRPr="00C22390"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 w:rsidR="00CD6A16">
      <w:rPr>
        <w:rStyle w:val="footerfieldlabelChar"/>
        <w:noProof/>
      </w:rPr>
      <w:t>2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 w:rsidR="00CD6A16">
      <w:rPr>
        <w:rStyle w:val="footerfieldlabelChar"/>
        <w:noProof/>
      </w:rPr>
      <w:t>2</w:t>
    </w:r>
    <w:r w:rsidRPr="00C22390">
      <w:rPr>
        <w:rStyle w:val="footerfieldlabelChar"/>
      </w:rPr>
      <w:fldChar w:fldCharType="end"/>
    </w:r>
  </w:p>
  <w:p w14:paraId="3B536551" w14:textId="7829DF23" w:rsidR="00EB3FB2" w:rsidRPr="00C22390" w:rsidRDefault="00EB3FB2" w:rsidP="00EB3FB2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>
      <w:t xml:space="preserve">: </w:t>
    </w:r>
    <w:r w:rsidR="00557799">
      <w:t>October 2020</w:t>
    </w:r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r>
      <w:t xml:space="preserve">: </w:t>
    </w:r>
    <w:r w:rsidR="00C168C6">
      <w:t>1.</w:t>
    </w:r>
    <w:r w:rsidR="00340762">
      <w:t>2</w:t>
    </w:r>
    <w:r w:rsidRPr="00C22390">
      <w:t xml:space="preserve"> </w:t>
    </w:r>
    <w:r w:rsidRPr="00C22390">
      <w:rPr>
        <w:rStyle w:val="footerfieldlabelChar"/>
        <w:rFonts w:ascii="Calibri" w:hAnsi="Calibri"/>
      </w:rPr>
      <w:t>Authorised by</w:t>
    </w:r>
    <w:r w:rsidRPr="00C22390">
      <w:t xml:space="preserve">: </w:t>
    </w:r>
    <w:r w:rsidR="00340762">
      <w:t>Director</w:t>
    </w:r>
    <w:r>
      <w:t xml:space="preserve">, Health &amp; Safety  </w:t>
    </w:r>
    <w:r w:rsidRPr="00C22390">
      <w:rPr>
        <w:rStyle w:val="footerfieldlabelChar"/>
        <w:rFonts w:ascii="Calibri" w:hAnsi="Calibri"/>
      </w:rPr>
      <w:t>Next Review</w:t>
    </w:r>
    <w:r>
      <w:t xml:space="preserve">: </w:t>
    </w:r>
    <w:r w:rsidR="00D74338">
      <w:t>October 2025</w:t>
    </w:r>
  </w:p>
  <w:p w14:paraId="3B536552" w14:textId="77777777" w:rsidR="00EB3FB2" w:rsidRDefault="00EB3FB2" w:rsidP="00EB3FB2">
    <w:pPr>
      <w:pStyle w:val="footertext"/>
      <w:jc w:val="right"/>
    </w:pPr>
    <w:r w:rsidRPr="00C22390"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2911" w14:textId="77777777" w:rsidR="00C77854" w:rsidRDefault="00C77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FEFB" w14:textId="77777777" w:rsidR="008646F8" w:rsidRDefault="008646F8" w:rsidP="00EB3FB2">
      <w:pPr>
        <w:spacing w:after="0" w:line="240" w:lineRule="auto"/>
      </w:pPr>
      <w:r>
        <w:separator/>
      </w:r>
    </w:p>
  </w:footnote>
  <w:footnote w:type="continuationSeparator" w:id="0">
    <w:p w14:paraId="17E0D2E3" w14:textId="77777777" w:rsidR="008646F8" w:rsidRDefault="008646F8" w:rsidP="00EB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025" w14:textId="77777777" w:rsidR="00C77854" w:rsidRDefault="00C77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AD70" w14:textId="77777777" w:rsidR="00C77854" w:rsidRDefault="00C77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52BC" w14:textId="77777777" w:rsidR="00C77854" w:rsidRDefault="00C77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377"/>
    <w:multiLevelType w:val="multilevel"/>
    <w:tmpl w:val="78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01097"/>
    <w:multiLevelType w:val="multilevel"/>
    <w:tmpl w:val="6FD84588"/>
    <w:lvl w:ilvl="0">
      <w:start w:val="1"/>
      <w:numFmt w:val="decimal"/>
      <w:pStyle w:val="Heading1"/>
      <w:lvlText w:val="%1"/>
      <w:lvlJc w:val="left"/>
      <w:pPr>
        <w:ind w:left="2232" w:hanging="432"/>
      </w:pPr>
      <w:rPr>
        <w:color w:val="094183"/>
      </w:rPr>
    </w:lvl>
    <w:lvl w:ilvl="1">
      <w:start w:val="1"/>
      <w:numFmt w:val="decimal"/>
      <w:pStyle w:val="Heading2"/>
      <w:lvlText w:val="%1.%2"/>
      <w:lvlJc w:val="left"/>
      <w:pPr>
        <w:ind w:left="2376" w:hanging="576"/>
      </w:pPr>
      <w:rPr>
        <w:color w:val="094183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</w:lvl>
    <w:lvl w:ilvl="3">
      <w:start w:val="1"/>
      <w:numFmt w:val="decimal"/>
      <w:pStyle w:val="Heading4"/>
      <w:lvlText w:val="%1.%2.%3.%4"/>
      <w:lvlJc w:val="left"/>
      <w:pPr>
        <w:ind w:left="2664" w:hanging="864"/>
      </w:pPr>
      <w:rPr>
        <w:i w:val="0"/>
        <w:color w:val="094183"/>
      </w:rPr>
    </w:lvl>
    <w:lvl w:ilvl="4">
      <w:start w:val="1"/>
      <w:numFmt w:val="decimal"/>
      <w:pStyle w:val="Heading5"/>
      <w:lvlText w:val="%1.%2.%3.%4.%5"/>
      <w:lvlJc w:val="left"/>
      <w:pPr>
        <w:ind w:left="28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9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30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32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384" w:hanging="1584"/>
      </w:pPr>
    </w:lvl>
  </w:abstractNum>
  <w:abstractNum w:abstractNumId="2" w15:restartNumberingAfterBreak="0">
    <w:nsid w:val="24F57188"/>
    <w:multiLevelType w:val="hybridMultilevel"/>
    <w:tmpl w:val="6DACF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7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A5527C"/>
    <w:multiLevelType w:val="hybridMultilevel"/>
    <w:tmpl w:val="493E1E70"/>
    <w:lvl w:ilvl="0" w:tplc="FDA8D5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D6E6F"/>
    <w:multiLevelType w:val="multilevel"/>
    <w:tmpl w:val="ACA0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378477">
    <w:abstractNumId w:val="1"/>
  </w:num>
  <w:num w:numId="2" w16cid:durableId="1806047749">
    <w:abstractNumId w:val="3"/>
  </w:num>
  <w:num w:numId="3" w16cid:durableId="1953130378">
    <w:abstractNumId w:val="4"/>
  </w:num>
  <w:num w:numId="4" w16cid:durableId="466706610">
    <w:abstractNumId w:val="1"/>
  </w:num>
  <w:num w:numId="5" w16cid:durableId="690959570">
    <w:abstractNumId w:val="1"/>
  </w:num>
  <w:num w:numId="6" w16cid:durableId="1237470287">
    <w:abstractNumId w:val="1"/>
  </w:num>
  <w:num w:numId="7" w16cid:durableId="459882838">
    <w:abstractNumId w:val="1"/>
  </w:num>
  <w:num w:numId="8" w16cid:durableId="833839593">
    <w:abstractNumId w:val="1"/>
  </w:num>
  <w:num w:numId="9" w16cid:durableId="2128310712">
    <w:abstractNumId w:val="1"/>
  </w:num>
  <w:num w:numId="10" w16cid:durableId="707069981">
    <w:abstractNumId w:val="2"/>
  </w:num>
  <w:num w:numId="11" w16cid:durableId="551163291">
    <w:abstractNumId w:val="1"/>
  </w:num>
  <w:num w:numId="12" w16cid:durableId="290399907">
    <w:abstractNumId w:val="1"/>
  </w:num>
  <w:num w:numId="13" w16cid:durableId="1419206511">
    <w:abstractNumId w:val="1"/>
  </w:num>
  <w:num w:numId="14" w16cid:durableId="2053531209">
    <w:abstractNumId w:val="1"/>
  </w:num>
  <w:num w:numId="15" w16cid:durableId="1405029626">
    <w:abstractNumId w:val="1"/>
  </w:num>
  <w:num w:numId="16" w16cid:durableId="1686206612">
    <w:abstractNumId w:val="1"/>
  </w:num>
  <w:num w:numId="17" w16cid:durableId="808863617">
    <w:abstractNumId w:val="1"/>
  </w:num>
  <w:num w:numId="18" w16cid:durableId="1387685727">
    <w:abstractNumId w:val="0"/>
  </w:num>
  <w:num w:numId="19" w16cid:durableId="754861324">
    <w:abstractNumId w:val="1"/>
  </w:num>
  <w:num w:numId="20" w16cid:durableId="1003820543">
    <w:abstractNumId w:val="1"/>
  </w:num>
  <w:num w:numId="21" w16cid:durableId="907348227">
    <w:abstractNumId w:val="5"/>
  </w:num>
  <w:num w:numId="22" w16cid:durableId="1262298488">
    <w:abstractNumId w:val="1"/>
  </w:num>
  <w:num w:numId="23" w16cid:durableId="801461555">
    <w:abstractNumId w:val="1"/>
  </w:num>
  <w:num w:numId="24" w16cid:durableId="999698942">
    <w:abstractNumId w:val="1"/>
  </w:num>
  <w:num w:numId="25" w16cid:durableId="46434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99"/>
    <w:rsid w:val="0000115D"/>
    <w:rsid w:val="000C0130"/>
    <w:rsid w:val="00192638"/>
    <w:rsid w:val="001A469B"/>
    <w:rsid w:val="002444A5"/>
    <w:rsid w:val="00253CC0"/>
    <w:rsid w:val="002C01DF"/>
    <w:rsid w:val="002C0D9A"/>
    <w:rsid w:val="00332405"/>
    <w:rsid w:val="00340762"/>
    <w:rsid w:val="003B6134"/>
    <w:rsid w:val="004058CA"/>
    <w:rsid w:val="00447487"/>
    <w:rsid w:val="00461E4E"/>
    <w:rsid w:val="004D315E"/>
    <w:rsid w:val="004E5342"/>
    <w:rsid w:val="0050194D"/>
    <w:rsid w:val="0050789E"/>
    <w:rsid w:val="00557799"/>
    <w:rsid w:val="00560DD1"/>
    <w:rsid w:val="00590831"/>
    <w:rsid w:val="005A707D"/>
    <w:rsid w:val="005B1DD5"/>
    <w:rsid w:val="0062538C"/>
    <w:rsid w:val="006602A2"/>
    <w:rsid w:val="00696748"/>
    <w:rsid w:val="006D3B79"/>
    <w:rsid w:val="00701B5D"/>
    <w:rsid w:val="00712C52"/>
    <w:rsid w:val="00724429"/>
    <w:rsid w:val="00760AF5"/>
    <w:rsid w:val="00765BF9"/>
    <w:rsid w:val="007731DD"/>
    <w:rsid w:val="00791EA1"/>
    <w:rsid w:val="00826AD1"/>
    <w:rsid w:val="0083423F"/>
    <w:rsid w:val="008646F8"/>
    <w:rsid w:val="008C0405"/>
    <w:rsid w:val="008E21F3"/>
    <w:rsid w:val="00937F89"/>
    <w:rsid w:val="00950D3E"/>
    <w:rsid w:val="00964989"/>
    <w:rsid w:val="00A562EB"/>
    <w:rsid w:val="00A5788B"/>
    <w:rsid w:val="00A81575"/>
    <w:rsid w:val="00AE3A17"/>
    <w:rsid w:val="00B17EBA"/>
    <w:rsid w:val="00B37325"/>
    <w:rsid w:val="00B5742E"/>
    <w:rsid w:val="00B86A3A"/>
    <w:rsid w:val="00BC6841"/>
    <w:rsid w:val="00C168C6"/>
    <w:rsid w:val="00C5667C"/>
    <w:rsid w:val="00C77854"/>
    <w:rsid w:val="00C91486"/>
    <w:rsid w:val="00CD6A16"/>
    <w:rsid w:val="00CD6B5D"/>
    <w:rsid w:val="00D17C41"/>
    <w:rsid w:val="00D33299"/>
    <w:rsid w:val="00D3536E"/>
    <w:rsid w:val="00D427E4"/>
    <w:rsid w:val="00D5343E"/>
    <w:rsid w:val="00D74338"/>
    <w:rsid w:val="00DA4C37"/>
    <w:rsid w:val="00DD1D18"/>
    <w:rsid w:val="00E67116"/>
    <w:rsid w:val="00EB3FB2"/>
    <w:rsid w:val="00FA6567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364E4"/>
  <w15:chartTrackingRefBased/>
  <w15:docId w15:val="{89B6D001-E6EA-4477-A8D4-099BA266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8C"/>
    <w:pPr>
      <w:spacing w:after="17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AF5"/>
    <w:pPr>
      <w:keepNext/>
      <w:keepLines/>
      <w:numPr>
        <w:numId w:val="1"/>
      </w:numPr>
      <w:pBdr>
        <w:bottom w:val="single" w:sz="4" w:space="1" w:color="094183"/>
      </w:pBdr>
      <w:tabs>
        <w:tab w:val="left" w:pos="900"/>
      </w:tabs>
      <w:spacing w:before="170" w:after="240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F5"/>
    <w:pPr>
      <w:keepNext/>
      <w:keepLines/>
      <w:numPr>
        <w:ilvl w:val="1"/>
        <w:numId w:val="1"/>
      </w:numPr>
      <w:tabs>
        <w:tab w:val="left" w:pos="900"/>
      </w:tabs>
      <w:spacing w:before="113" w:after="0"/>
      <w:outlineLvl w:val="1"/>
    </w:pPr>
    <w:rPr>
      <w:rFonts w:ascii="Calibri" w:eastAsiaTheme="majorEastAsia" w:hAnsi="Calibri" w:cstheme="majorBidi"/>
      <w:b/>
      <w:color w:val="09418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A3A"/>
    <w:pPr>
      <w:keepNext/>
      <w:keepLines/>
      <w:numPr>
        <w:ilvl w:val="2"/>
        <w:numId w:val="1"/>
      </w:numPr>
      <w:tabs>
        <w:tab w:val="left" w:pos="900"/>
      </w:tabs>
      <w:outlineLvl w:val="2"/>
    </w:pPr>
    <w:rPr>
      <w:rFonts w:ascii="Calibri" w:eastAsiaTheme="majorEastAsia" w:hAnsi="Calibri" w:cstheme="majorBidi"/>
      <w:b/>
      <w:color w:val="094183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A3A"/>
    <w:pPr>
      <w:keepNext/>
      <w:keepLines/>
      <w:numPr>
        <w:ilvl w:val="3"/>
        <w:numId w:val="1"/>
      </w:numPr>
      <w:tabs>
        <w:tab w:val="left" w:pos="900"/>
      </w:tabs>
      <w:ind w:left="902" w:hanging="902"/>
      <w:outlineLvl w:val="3"/>
    </w:pPr>
    <w:rPr>
      <w:rFonts w:ascii="Calibri" w:eastAsiaTheme="majorEastAsia" w:hAnsi="Calibri" w:cstheme="majorBidi"/>
      <w:b/>
      <w:iCs/>
      <w:color w:val="09418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56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56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56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56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56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33299"/>
    <w:pPr>
      <w:spacing w:after="0" w:line="240" w:lineRule="auto"/>
      <w:jc w:val="right"/>
    </w:pPr>
    <w:rPr>
      <w:caps/>
      <w:sz w:val="52"/>
    </w:rPr>
  </w:style>
  <w:style w:type="paragraph" w:customStyle="1" w:styleId="Style2">
    <w:name w:val="Style2"/>
    <w:basedOn w:val="Style1"/>
    <w:qFormat/>
    <w:rsid w:val="00D33299"/>
    <w:pPr>
      <w:ind w:right="199"/>
    </w:pPr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60AF5"/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AF5"/>
    <w:rPr>
      <w:rFonts w:ascii="Calibri" w:eastAsiaTheme="majorEastAsia" w:hAnsi="Calibri" w:cstheme="majorBidi"/>
      <w:b/>
      <w:color w:val="09418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A3A"/>
    <w:rPr>
      <w:rFonts w:ascii="Calibri" w:eastAsiaTheme="majorEastAsia" w:hAnsi="Calibri" w:cstheme="majorBidi"/>
      <w:b/>
      <w:color w:val="094183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A3A"/>
    <w:rPr>
      <w:rFonts w:ascii="Calibri" w:eastAsiaTheme="majorEastAsia" w:hAnsi="Calibri" w:cstheme="majorBidi"/>
      <w:b/>
      <w:iCs/>
      <w:color w:val="09418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5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5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5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5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5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602A2"/>
    <w:pPr>
      <w:ind w:left="720"/>
      <w:contextualSpacing/>
    </w:pPr>
  </w:style>
  <w:style w:type="paragraph" w:customStyle="1" w:styleId="Bullet">
    <w:name w:val="Bullet"/>
    <w:basedOn w:val="ListParagraph"/>
    <w:qFormat/>
    <w:rsid w:val="00BC6841"/>
    <w:pPr>
      <w:numPr>
        <w:numId w:val="3"/>
      </w:numPr>
      <w:tabs>
        <w:tab w:val="left" w:pos="540"/>
      </w:tabs>
      <w:ind w:left="539" w:hanging="539"/>
      <w:contextualSpacing w:val="0"/>
    </w:pPr>
  </w:style>
  <w:style w:type="paragraph" w:customStyle="1" w:styleId="Indentedtext">
    <w:name w:val="Indented text"/>
    <w:basedOn w:val="Normal"/>
    <w:qFormat/>
    <w:rsid w:val="00826AD1"/>
    <w:pPr>
      <w:ind w:left="540"/>
    </w:pPr>
  </w:style>
  <w:style w:type="paragraph" w:customStyle="1" w:styleId="Tableheadinglevel1">
    <w:name w:val="Table heading level 1"/>
    <w:basedOn w:val="Normal"/>
    <w:qFormat/>
    <w:rsid w:val="002C0D9A"/>
    <w:pPr>
      <w:spacing w:after="0"/>
      <w:jc w:val="center"/>
    </w:pPr>
    <w:rPr>
      <w:b/>
      <w:caps/>
      <w:sz w:val="18"/>
      <w:szCs w:val="18"/>
    </w:rPr>
  </w:style>
  <w:style w:type="paragraph" w:customStyle="1" w:styleId="Tableheadinglevel2">
    <w:name w:val="Table heading level 2"/>
    <w:basedOn w:val="Normal"/>
    <w:qFormat/>
    <w:rsid w:val="00826AD1"/>
    <w:pPr>
      <w:spacing w:after="0"/>
    </w:pPr>
    <w:rPr>
      <w:rFonts w:ascii="Calibri" w:hAnsi="Calibri"/>
      <w:b/>
    </w:rPr>
  </w:style>
  <w:style w:type="paragraph" w:customStyle="1" w:styleId="Tabletext">
    <w:name w:val="Table text"/>
    <w:basedOn w:val="Normal"/>
    <w:qFormat/>
    <w:rsid w:val="00BC6841"/>
    <w:pPr>
      <w:spacing w:after="0"/>
    </w:pPr>
    <w:rPr>
      <w:rFonts w:ascii="Calibri" w:hAnsi="Calibri"/>
      <w:sz w:val="18"/>
    </w:rPr>
  </w:style>
  <w:style w:type="character" w:styleId="Hyperlink">
    <w:name w:val="Hyperlink"/>
    <w:basedOn w:val="DefaultParagraphFont"/>
    <w:uiPriority w:val="99"/>
    <w:rsid w:val="00BC6841"/>
    <w:rPr>
      <w:color w:val="0000FF"/>
      <w:u w:val="single"/>
    </w:rPr>
  </w:style>
  <w:style w:type="paragraph" w:customStyle="1" w:styleId="metabox">
    <w:name w:val="meta box"/>
    <w:basedOn w:val="Normal"/>
    <w:rsid w:val="00BC6841"/>
    <w:pPr>
      <w:widowControl w:val="0"/>
      <w:autoSpaceDE w:val="0"/>
      <w:autoSpaceDN w:val="0"/>
      <w:adjustRightInd w:val="0"/>
      <w:spacing w:after="0"/>
      <w:ind w:left="340" w:right="340"/>
    </w:pPr>
    <w:rPr>
      <w:rFonts w:eastAsia="Times New Roman" w:cs="Times New Roman"/>
      <w:szCs w:val="20"/>
      <w:lang w:val="en-US"/>
    </w:rPr>
  </w:style>
  <w:style w:type="paragraph" w:customStyle="1" w:styleId="calloutheading">
    <w:name w:val="callout heading"/>
    <w:basedOn w:val="Normal"/>
    <w:rsid w:val="00EB3FB2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b/>
      <w:cap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B2"/>
  </w:style>
  <w:style w:type="paragraph" w:styleId="Footer">
    <w:name w:val="footer"/>
    <w:basedOn w:val="Normal"/>
    <w:link w:val="Foot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B2"/>
  </w:style>
  <w:style w:type="paragraph" w:customStyle="1" w:styleId="footertext">
    <w:name w:val="footer text"/>
    <w:basedOn w:val="Normal"/>
    <w:link w:val="footertextChar"/>
    <w:rsid w:val="00EB3F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EB3FB2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EB3FB2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EB3FB2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B3FB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EB3FB2"/>
    <w:rPr>
      <w:rFonts w:eastAsia="Times New Roman" w:cs="Times New Roman"/>
      <w:b/>
      <w:sz w:val="14"/>
      <w:szCs w:val="20"/>
      <w:lang w:val="en-US"/>
    </w:rPr>
  </w:style>
  <w:style w:type="paragraph" w:customStyle="1" w:styleId="policyplain">
    <w:name w:val="policyplain"/>
    <w:basedOn w:val="Normal"/>
    <w:rsid w:val="00C91486"/>
    <w:pPr>
      <w:spacing w:before="100" w:beforeAutospacing="1" w:after="100" w:afterAutospacing="1" w:line="240" w:lineRule="auto"/>
      <w:ind w:right="238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244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hs-enquiries@unimelb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search.unimelb.edu.au/strengths/ethics/committe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3" ma:contentTypeDescription="Create a new document." ma:contentTypeScope="" ma:versionID="964779646698d8783e127bb171ee9406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8921452d287ae20374be45eb94a234d3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8EC22BA-0BC1-4072-8C21-7EB1870B6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1E55C-8C6B-4EA4-8BC9-A0C1970FB8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9DD84E-FAB9-4E29-8A0E-C5F5B47B5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67407F-FE70-4524-AE4B-7EA9A7B8D0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318B22-5360-47C8-95B4-60AF4DE532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Butler</dc:creator>
  <cp:keywords/>
  <dc:description/>
  <cp:lastModifiedBy>Weini Lim</cp:lastModifiedBy>
  <cp:revision>3</cp:revision>
  <dcterms:created xsi:type="dcterms:W3CDTF">2023-05-18T23:15:00Z</dcterms:created>
  <dcterms:modified xsi:type="dcterms:W3CDTF">2023-05-18T23:16:00Z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